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запросе цен по результатам предварительного отбора на </w:t>
      </w:r>
      <w:r>
        <w:rPr>
          <w:spacing w:val="-2"/>
        </w:rPr>
        <w:t xml:space="preserve">право заключения договора </w:t>
      </w:r>
      <w:r>
        <w:rPr>
          <w:spacing w:val="-2"/>
        </w:rPr>
        <w:t xml:space="preserve">на </w:t>
      </w:r>
      <w:r>
        <w:rPr>
          <w:spacing w:val="-2"/>
        </w:rPr>
        <w:t xml:space="preserve">выполнение работ по замене</w:t>
      </w:r>
      <w:r>
        <w:rPr>
          <w:spacing w:val="-2"/>
        </w:rPr>
        <w:t xml:space="preserve"> </w:t>
      </w:r>
      <w:r>
        <w:rPr>
          <w:spacing w:val="-2"/>
        </w:rPr>
        <w:t xml:space="preserve">приборов учета электроэнергии в МКД в Республике Тыва во исполнение требований ФЗ №522 от 27.12.2018 (сбыт). Лот 73</w:t>
      </w:r>
      <w:r>
        <w:rPr>
          <w:spacing w:val="-2"/>
        </w:rPr>
        <w:t xml:space="preserve">, для нужд АО «Россети Сибирь Тываэнерго» </w:t>
      </w:r>
      <w:r>
        <w:rPr>
          <w:spacing w:val="-2"/>
        </w:rPr>
        <w:t xml:space="preserve">№ 25.1-11/7.1-0048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запрос цен, закупка)</w:t>
      </w:r>
      <w:r>
        <w:t xml:space="preserve">. </w:t>
      </w:r>
      <w:r/>
    </w:p>
    <w:p>
      <w:pPr>
        <w:pStyle w:val="854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Запрос цен по результатам предварительного отбора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r>
        <w:t xml:space="preserve">Наименование Заказчика: Акционерное общество «Россети СибирьТываэнерго» (АО «Россети Сибирь Тываэнерго»).</w:t>
      </w:r>
      <w:r/>
    </w:p>
    <w:p>
      <w:r>
        <w:t xml:space="preserve">Место нахождения и почтовый адрес Заказчика: </w:t>
      </w:r>
      <w:r/>
    </w:p>
    <w:p>
      <w:r>
        <w:t xml:space="preserve">667001, г. Кызыл, ул. Рабочая 4.</w:t>
      </w:r>
      <w:r/>
    </w:p>
    <w:p>
      <w:r>
        <w:t xml:space="preserve">E-mail:  </w:t>
      </w:r>
      <w:r>
        <w:t xml:space="preserve">info@tv.rosseti-sib.ru</w:t>
      </w:r>
      <w:r/>
    </w:p>
    <w:p>
      <w:r>
        <w:t xml:space="preserve">Тел.:  8 (394-22) 9-85-00</w:t>
      </w:r>
      <w:r/>
    </w:p>
    <w:p>
      <w:r/>
      <w:r/>
    </w:p>
    <w:p>
      <w:r>
        <w:t xml:space="preserve">Контактные лица Заказчика: </w:t>
      </w:r>
      <w:r/>
    </w:p>
    <w:p>
      <w:r>
        <w:t xml:space="preserve">Главный специалист сектора закупок</w:t>
      </w:r>
      <w:r/>
    </w:p>
    <w:p>
      <w:r>
        <w:t xml:space="preserve">Кузнецова Надежда Алексеевна</w:t>
      </w:r>
      <w:r/>
    </w:p>
    <w:p>
      <w:r>
        <w:t xml:space="preserve">E-mail: KuznetsovaNA@tv.rosseti-sib.ru</w:t>
      </w:r>
      <w:r/>
    </w:p>
    <w:p>
      <w:r>
        <w:t xml:space="preserve">Тел.: (39422) 9-85-44</w:t>
      </w:r>
      <w:r/>
    </w:p>
    <w:p>
      <w:r/>
      <w:r/>
    </w:p>
    <w:p>
      <w:r>
        <w:t xml:space="preserve">Специалист 2 категории сектора закупок</w:t>
      </w:r>
      <w:r/>
    </w:p>
    <w:p>
      <w:r>
        <w:t xml:space="preserve">Золотухина Вера Александровна</w:t>
      </w:r>
      <w:r/>
    </w:p>
    <w:p>
      <w:pPr>
        <w:rPr>
          <w:lang w:val="en-US"/>
        </w:rPr>
      </w:pPr>
      <w:r>
        <w:rPr>
          <w:lang w:val="en-US"/>
        </w:rPr>
        <w:t xml:space="preserve">E-mail: ZolotuhinaVA@tv.rosseti-sib.ru</w:t>
      </w:r>
      <w:r>
        <w:rPr>
          <w:lang w:val="en-US"/>
        </w:rPr>
      </w:r>
      <w:r>
        <w:rPr>
          <w:lang w:val="en-US"/>
        </w:rPr>
      </w:r>
    </w:p>
    <w:p>
      <w:pPr>
        <w:jc w:val="both"/>
        <w:spacing w:after="120"/>
        <w:tabs>
          <w:tab w:val="left" w:pos="851" w:leader="none"/>
          <w:tab w:val="left" w:pos="1134" w:leader="none"/>
        </w:tabs>
      </w:pPr>
      <w:r>
        <w:t xml:space="preserve">Тел.: (39422) 9-84-43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запроса цен по результатам предварительного отбора.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  <w:r>
        <w:rPr>
          <w:b/>
        </w:rPr>
      </w:r>
    </w:p>
    <w:p>
      <w:pPr>
        <w:pStyle w:val="1045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  <w:r>
        <w:rPr>
          <w:b/>
        </w:rPr>
      </w:r>
    </w:p>
    <w:p>
      <w:pPr>
        <w:pStyle w:val="1045"/>
        <w:jc w:val="both"/>
        <w:tabs>
          <w:tab w:val="left" w:pos="0" w:leader="none"/>
        </w:tabs>
      </w:pPr>
      <w:r>
        <w:t xml:space="preserve">Право на заключение договора </w:t>
      </w:r>
      <w:r>
        <w:rPr>
          <w:spacing w:val="-2"/>
        </w:rPr>
        <w:t xml:space="preserve">на </w:t>
      </w:r>
      <w:r>
        <w:rPr>
          <w:spacing w:val="-2"/>
        </w:rPr>
        <w:t xml:space="preserve">выполнение работ по замене</w:t>
      </w:r>
      <w:r>
        <w:rPr>
          <w:spacing w:val="-2"/>
        </w:rPr>
        <w:t xml:space="preserve"> приборов учета электроэнергии в МКД в Республике Тыва во исполнение требований ФЗ №522 от 27.12.2018 (сбыт). Лот 73, для нужд АО «Россети Сибирь Тываэнерго»</w:t>
      </w:r>
      <w:r>
        <w:rPr>
          <w:spacing w:val="-2"/>
        </w:rPr>
        <w:t xml:space="preserve">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</w:t>
      </w:r>
      <w:r>
        <w:t xml:space="preserve">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обязательный характер. Участник закупки может представить в </w:t>
      </w:r>
      <w:r>
        <w:t xml:space="preserve">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  <w:r>
        <w:rPr>
          <w:b/>
        </w:rPr>
      </w:r>
    </w:p>
    <w:p>
      <w:pPr>
        <w:pStyle w:val="1045"/>
        <w:jc w:val="both"/>
        <w:tabs>
          <w:tab w:val="left" w:pos="0" w:leader="none"/>
        </w:tabs>
      </w:pPr>
      <w:r>
        <w:t xml:space="preserve">В соответствии с техническим заданием и проектом договора.</w:t>
      </w:r>
      <w:r/>
    </w:p>
    <w:p>
      <w:pPr>
        <w:pStyle w:val="1045"/>
        <w:jc w:val="both"/>
        <w:tabs>
          <w:tab w:val="left" w:pos="0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lang w:eastAsia="ar-SA"/>
        </w:rPr>
        <w:t xml:space="preserve">8 334</w:t>
      </w:r>
      <w:r>
        <w:rPr>
          <w:bCs/>
          <w:lang w:eastAsia="ar-SA"/>
        </w:rPr>
        <w:t xml:space="preserve"> </w:t>
      </w:r>
      <w:r>
        <w:rPr>
          <w:bCs/>
          <w:lang w:eastAsia="ar-SA"/>
        </w:rPr>
        <w:t xml:space="preserve">521</w:t>
      </w:r>
      <w:r>
        <w:rPr>
          <w:bCs/>
          <w:lang w:eastAsia="ar-SA"/>
        </w:rPr>
        <w:t xml:space="preserve"> (восемь миллионов триста тридцать четыре тысячи пятьсот двадцать один) рубль </w:t>
      </w:r>
      <w:r>
        <w:rPr>
          <w:bCs/>
          <w:lang w:eastAsia="ar-SA"/>
        </w:rPr>
        <w:t xml:space="preserve">6</w:t>
      </w:r>
      <w:r>
        <w:rPr>
          <w:bCs/>
          <w:lang w:eastAsia="ar-SA"/>
        </w:rPr>
        <w:t xml:space="preserve">3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</w:t>
      </w:r>
      <w:r>
        <w:rPr>
          <w:bCs/>
          <w:lang w:eastAsia="ar-SA"/>
        </w:rPr>
        <w:t xml:space="preserve">йки</w:t>
      </w:r>
      <w:r>
        <w:rPr>
          <w:bCs/>
          <w:lang w:eastAsia="ar-SA"/>
        </w:rPr>
        <w:t xml:space="preserve">, кроме того НДС в размере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%.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lang w:eastAsia="ar-SA"/>
        </w:rPr>
        <w:t xml:space="preserve">10 001</w:t>
      </w:r>
      <w:r>
        <w:rPr>
          <w:bCs/>
          <w:lang w:eastAsia="ar-SA"/>
        </w:rPr>
        <w:t xml:space="preserve"> </w:t>
      </w:r>
      <w:r>
        <w:rPr>
          <w:bCs/>
          <w:lang w:eastAsia="ar-SA"/>
        </w:rPr>
        <w:t xml:space="preserve">425</w:t>
      </w:r>
      <w:r>
        <w:rPr>
          <w:bCs/>
          <w:lang w:eastAsia="ar-SA"/>
        </w:rPr>
        <w:t xml:space="preserve"> (десять миллионов одна тысяча четыреста двадцать пять) рублей </w:t>
      </w:r>
      <w:r>
        <w:rPr>
          <w:bCs/>
          <w:lang w:eastAsia="ar-SA"/>
        </w:rPr>
        <w:t xml:space="preserve">95 </w:t>
      </w:r>
      <w:r>
        <w:rPr>
          <w:bCs/>
          <w:lang w:eastAsia="ar-SA"/>
        </w:rPr>
        <w:t xml:space="preserve">копе</w:t>
      </w:r>
      <w:r>
        <w:rPr>
          <w:bCs/>
          <w:lang w:eastAsia="ar-SA"/>
        </w:rPr>
        <w:t xml:space="preserve">ек</w:t>
      </w:r>
      <w:r>
        <w:rPr>
          <w:bCs/>
          <w:lang w:eastAsia="ar-SA"/>
        </w:rPr>
        <w:t xml:space="preserve">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</w:rPr>
      </w:pPr>
      <w:r>
        <w:t xml:space="preserve">Извещение о закупке в по</w:t>
      </w:r>
      <w:r>
        <w:t xml:space="preserve">лном объеме в электронном виде безвозмездно доступно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https://www.roseltorg.ru/ начиная </w:t>
      </w:r>
      <w:r>
        <w:t xml:space="preserve">с «19» мая 2025 года.</w:t>
      </w:r>
      <w:r>
        <w:rPr>
          <w:i/>
        </w:rPr>
        <w:t xml:space="preserve"> 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</w:t>
      </w:r>
      <w:bookmarkStart w:id="0" w:name="_GoBack"/>
      <w:r/>
      <w:bookmarkEnd w:id="0"/>
      <w:r>
        <w:t xml:space="preserve">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highlight w:val="none"/>
        </w:rPr>
      </w:pPr>
      <w:r>
        <w:t xml:space="preserve">Заявка действительна в течение срока, указанного участником закупки в заявке на участие в закупке (форма 1). В любом случае этот срок не должен быть менее, чем 90 календарных дней со дня, следующего за днем окончания подачи заявок.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Стоимость заявки участника на Э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П является указанием участника на единый процент снижения (скидки) на весь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перечень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 предлагаемых Участником товаров (работ, услуг). Размер скидки рассчитывается, как процент снижения цено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вого предложения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Участника на Э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П, относительно начальной (максимальной) цены Договора, и распространяется на каждую позицию единичных расценок, указанных в части V «ТЕХНИЧЕСКАЯ ЧАСТЬ».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u w:val="single"/>
        </w:rPr>
        <w:t xml:space="preserve">В случае нарушения участником указанного порядка заявка участника может быть отклонена.</w:t>
      </w:r>
      <w:r/>
      <w:r>
        <w:rPr>
          <w:highlight w:val="none"/>
        </w:rPr>
      </w:r>
      <w:r>
        <w:rPr>
          <w:highlight w:val="none"/>
        </w:rPr>
      </w:r>
    </w:p>
    <w:p>
      <w:pPr>
        <w:pStyle w:val="1045"/>
        <w:jc w:val="both"/>
        <w:tabs>
          <w:tab w:val="left" w:pos="0" w:leader="none"/>
        </w:tabs>
      </w:pPr>
      <w:r/>
      <w:r/>
    </w:p>
    <w:p>
      <w:pPr>
        <w:pStyle w:val="1045"/>
        <w:jc w:val="both"/>
        <w:tabs>
          <w:tab w:val="left" w:pos="0" w:leader="none"/>
        </w:tabs>
      </w:pPr>
      <w:r>
        <w:t xml:space="preserve">Дата начала срока подачи заявок: «19» мая 2025 года;</w:t>
      </w:r>
      <w:r/>
    </w:p>
    <w:p>
      <w:pPr>
        <w:pStyle w:val="1045"/>
        <w:jc w:val="both"/>
        <w:tabs>
          <w:tab w:val="left" w:pos="0" w:leader="none"/>
        </w:tabs>
      </w:pPr>
      <w:r>
        <w:t xml:space="preserve">Дата и время окончания срока, последний день срока подачи Заявок:</w:t>
      </w:r>
      <w:r/>
    </w:p>
    <w:p>
      <w:pPr>
        <w:pStyle w:val="1045"/>
        <w:jc w:val="both"/>
        <w:tabs>
          <w:tab w:val="left" w:pos="0" w:leader="none"/>
        </w:tabs>
      </w:pPr>
      <w:r>
        <w:t xml:space="preserve">«21» мая 2025 года 13:00 (время московское)</w:t>
      </w:r>
      <w:r/>
    </w:p>
    <w:p>
      <w:pPr>
        <w:pStyle w:val="1045"/>
        <w:jc w:val="both"/>
        <w:tabs>
          <w:tab w:val="left" w:pos="0" w:leader="none"/>
        </w:tabs>
      </w:pPr>
      <w:r/>
      <w:r/>
    </w:p>
    <w:p>
      <w:pPr>
        <w:pStyle w:val="1045"/>
        <w:jc w:val="both"/>
        <w:tabs>
          <w:tab w:val="left" w:pos="0" w:leader="none"/>
        </w:tabs>
      </w:pPr>
      <w:r>
        <w:t xml:space="preserve">Рассмотрение заявок: </w:t>
      </w:r>
      <w:r/>
    </w:p>
    <w:p>
      <w:pPr>
        <w:pStyle w:val="1045"/>
        <w:jc w:val="both"/>
        <w:tabs>
          <w:tab w:val="left" w:pos="0" w:leader="none"/>
        </w:tabs>
      </w:pPr>
      <w:r>
        <w:t xml:space="preserve">Дата начала проведения этапа: с момент направления оператором ЭП заказчику заявок на участие в закупке.</w:t>
      </w:r>
      <w:r/>
    </w:p>
    <w:p>
      <w:pPr>
        <w:pStyle w:val="1045"/>
        <w:jc w:val="both"/>
        <w:tabs>
          <w:tab w:val="left" w:pos="0" w:leader="none"/>
        </w:tabs>
        <w:rPr>
          <w:bCs/>
          <w:i/>
        </w:rPr>
      </w:pPr>
      <w:r>
        <w:t xml:space="preserve">Дата завершения этапа: «30» июня 2025 года. </w:t>
      </w:r>
      <w:r>
        <w:rPr>
          <w:bCs/>
          <w:i/>
        </w:rPr>
      </w:r>
      <w:r>
        <w:rPr>
          <w:bCs/>
          <w:i/>
        </w:rPr>
      </w:r>
    </w:p>
    <w:p>
      <w:pPr>
        <w:pStyle w:val="1045"/>
        <w:jc w:val="both"/>
        <w:tabs>
          <w:tab w:val="left" w:pos="0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1045"/>
        <w:jc w:val="both"/>
      </w:pPr>
      <w:r>
        <w:t xml:space="preserve">Переторжка: </w:t>
      </w:r>
      <w:r/>
    </w:p>
    <w:p>
      <w:pPr>
        <w:pStyle w:val="1045"/>
        <w:jc w:val="both"/>
      </w:pPr>
      <w:r>
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/>
    </w:p>
    <w:p>
      <w:pPr>
        <w:pStyle w:val="1045"/>
        <w:jc w:val="both"/>
      </w:pPr>
      <w:r>
        <w:t xml:space="preserve"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</w:r>
      <w:r/>
    </w:p>
    <w:p>
      <w:pPr>
        <w:pStyle w:val="1045"/>
        <w:jc w:val="both"/>
        <w:tabs>
          <w:tab w:val="left" w:pos="0" w:leader="none"/>
        </w:tabs>
      </w:pPr>
      <w:r/>
      <w:r/>
    </w:p>
    <w:p>
      <w:pPr>
        <w:pStyle w:val="1045"/>
        <w:jc w:val="both"/>
        <w:spacing w:after="120"/>
        <w:tabs>
          <w:tab w:val="left" w:pos="0" w:leader="none"/>
        </w:tabs>
        <w:rPr>
          <w:bCs/>
          <w:i/>
        </w:rPr>
      </w:pPr>
      <w:r>
        <w:t xml:space="preserve">Подведение итогов закупки: «07» июля 2025 года. </w:t>
      </w:r>
      <w:r>
        <w:rPr>
          <w:bCs/>
          <w:i/>
        </w:rPr>
      </w:r>
      <w:r>
        <w:rPr>
          <w:bCs/>
          <w:i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</w:r>
      <w:r/>
    </w:p>
    <w:p>
      <w:pPr>
        <w:pStyle w:val="1045"/>
        <w:numPr>
          <w:ilvl w:val="1"/>
          <w:numId w:val="3"/>
        </w:numPr>
        <w:ind w:left="0" w:firstLine="0"/>
        <w:jc w:val="both"/>
        <w:spacing w:before="120" w:after="120"/>
        <w:tabs>
          <w:tab w:val="left" w:pos="0" w:leader="none"/>
        </w:tabs>
      </w:pPr>
      <w:r>
        <w:rPr>
          <w:b/>
        </w:rPr>
        <w:t xml:space="preserve">Дата и время окончания срока предоставления участникам закупки разъяснений положений извещения о закупке</w:t>
      </w:r>
      <w:r/>
    </w:p>
    <w:p>
      <w:pPr>
        <w:pStyle w:val="1045"/>
        <w:jc w:val="both"/>
        <w:spacing w:after="120"/>
        <w:tabs>
          <w:tab w:val="left" w:pos="0" w:leader="none"/>
        </w:tabs>
      </w:pPr>
      <w: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</w:t>
      </w:r>
      <w: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/>
    </w:p>
    <w:p>
      <w:pPr>
        <w:pStyle w:val="104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045"/>
        <w:jc w:val="both"/>
        <w:spacing w:after="120"/>
        <w:tabs>
          <w:tab w:val="left" w:pos="0" w:leader="none"/>
        </w:tabs>
      </w:pPr>
      <w:r>
        <w:t xml:space="preserve">https://www.roseltorg.ru/</w:t>
      </w:r>
      <w:r/>
    </w:p>
    <w:p>
      <w:pPr>
        <w:pStyle w:val="104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045"/>
        <w:jc w:val="both"/>
        <w:tabs>
          <w:tab w:val="left" w:pos="0" w:leader="none"/>
        </w:tabs>
      </w:pPr>
      <w:r>
        <w:t xml:space="preserve">Не требуется.</w:t>
      </w:r>
      <w:r/>
    </w:p>
    <w:p>
      <w:pPr>
        <w:pStyle w:val="104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</w:t>
      </w:r>
      <w:r>
        <w:rPr>
          <w:b/>
        </w:rPr>
        <w:t xml:space="preserve">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Требуется обеспечение исполнения договора в соответствии с разделом 6 «ПРОЕКТ ДОГОВОРА» и в случаях, указанных в п. 3.17 извещения о проведении закупки.</w:t>
      </w:r>
      <w:r/>
    </w:p>
    <w:p>
      <w:pPr>
        <w:jc w:val="both"/>
      </w:pPr>
      <w:r>
        <w:t xml:space="preserve">Размер обеспечения – установлен в разделе 6 «ПРОЕКТ ДОГОВОРА» и п. 3.17 извещения о проведении закупки.</w:t>
      </w:r>
      <w:r/>
    </w:p>
    <w:p>
      <w:pPr>
        <w:jc w:val="both"/>
      </w:pPr>
      <w:r>
        <w:rPr>
          <w:iCs/>
        </w:rPr>
        <w:t xml:space="preserve">Порядок предоставления обеспечения</w:t>
      </w:r>
      <w:r>
        <w:t xml:space="preserve"> установлен в настоящем извещении о проведении закупки и разделе 6 «ПРОЕКТ ДОГОВОРА».</w:t>
      </w:r>
      <w:r/>
    </w:p>
    <w:p>
      <w:pPr>
        <w:jc w:val="both"/>
      </w:pPr>
      <w:r>
        <w:t xml:space="preserve">Основное обязательство, исполнение которого обеспечивается – установлено в разделе 6 «ПРОЕКТ ДОГОВОРА».</w:t>
      </w:r>
      <w:r/>
    </w:p>
    <w:p>
      <w:pPr>
        <w:jc w:val="both"/>
      </w:pPr>
      <w:r>
        <w:t xml:space="preserve">Срок исполнения – установлен в разделе 6 «ПРОЕКТ ДОГОВОРА».</w:t>
      </w:r>
      <w:r/>
    </w:p>
    <w:p>
      <w:pPr>
        <w:jc w:val="both"/>
      </w:pPr>
      <w:r>
        <w:t xml:space="preserve">Срок предоставления обеспечения - установлен в разделе 6 «ПРОЕКТ ДОГОВОРА».</w:t>
      </w:r>
      <w:r/>
    </w:p>
    <w:p>
      <w:pPr>
        <w:jc w:val="both"/>
      </w:pPr>
      <w:r>
        <w:t xml:space="preserve">Иные требования к обеспечению, в том числе условия независимой гарантии и требования к гарантам, указаны в п. 3.17 извещения о проведении закупки.</w:t>
      </w:r>
      <w:r/>
    </w:p>
    <w:p>
      <w:pPr>
        <w:pStyle w:val="104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b/>
          <w:bCs/>
          <w:color w:val="auto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</w:pPr>
      <w:r>
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</w:t>
      </w:r>
      <w:r>
        <w:t xml:space="preserve">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833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33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  <w:r>
        <w:rPr>
          <w:b/>
        </w:rPr>
      </w:r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u w:val="single"/>
        </w:rPr>
      </w:pPr>
      <w:r>
        <w:rPr>
          <w:u w:val="single"/>
        </w:rPr>
        <w:t xml:space="preserve">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 </w:t>
      </w:r>
      <w:r>
        <w:rPr>
          <w:u w:val="single"/>
        </w:rPr>
        <w:t xml:space="preserve">по результатам предварительного отбора на право заключения договора </w:t>
      </w:r>
      <w:r>
        <w:rPr>
          <w:u w:val="single"/>
        </w:rPr>
        <w:t xml:space="preserve">н</w:t>
      </w:r>
      <w:r>
        <w:rPr>
          <w:u w:val="single"/>
        </w:rPr>
        <w:t xml:space="preserve">а выполнение строительно-монтажных и пуско-наладочных работ по техническому перевооружению, реконструкции, строительству, модернизации систем учета электроэнергии ВЛ -10 кВ, ВЛ -0,4 кВ,  КЛ-10 кВ, КЛ-0,4 кВ, КТП 10/0,4кВ, СТП 10/0,4кВ, РТП 10/0,4 кВ в реги</w:t>
      </w:r>
      <w:r>
        <w:rPr>
          <w:u w:val="single"/>
        </w:rPr>
        <w:t xml:space="preserve">оне присутствия АО "Россети Сибирь Тываэнерго"</w:t>
      </w:r>
      <w:r>
        <w:rPr>
          <w:u w:val="single"/>
        </w:rPr>
        <w:t xml:space="preserve"> </w:t>
      </w:r>
      <w:r>
        <w:rPr>
          <w:u w:val="single"/>
        </w:rPr>
        <w:t xml:space="preserve">(протокол заседания Закупочной комиссии ПАО «</w:t>
      </w:r>
      <w:r>
        <w:rPr>
          <w:u w:val="single"/>
        </w:rPr>
        <w:t xml:space="preserve">Россети Сибирь</w:t>
      </w:r>
      <w:r>
        <w:rPr>
          <w:u w:val="single"/>
        </w:rPr>
        <w:t xml:space="preserve">» по подведению итогов № </w:t>
      </w:r>
      <w:r>
        <w:rPr>
          <w:u w:val="single"/>
        </w:rPr>
        <w:t xml:space="preserve">24-85/32414167959/ТЭ</w:t>
      </w:r>
      <w:r>
        <w:rPr>
          <w:u w:val="single"/>
        </w:rPr>
        <w:t xml:space="preserve"> </w:t>
      </w:r>
      <w:r>
        <w:rPr>
          <w:u w:val="single"/>
        </w:rPr>
        <w:t xml:space="preserve">от 19.03.2025</w:t>
      </w:r>
      <w:r>
        <w:rPr>
          <w:u w:val="single"/>
        </w:rPr>
        <w:t xml:space="preserve"> </w:t>
      </w:r>
      <w:r>
        <w:rPr>
          <w:u w:val="single"/>
        </w:rPr>
        <w:t xml:space="preserve">г.</w:t>
      </w:r>
      <w:r>
        <w:rPr>
          <w:u w:val="single"/>
        </w:rPr>
        <w:t xml:space="preserve"> </w:t>
      </w:r>
      <w:r>
        <w:rPr>
          <w:u w:val="single"/>
        </w:rPr>
        <w:t xml:space="preserve">прилагается</w:t>
      </w:r>
      <w:r>
        <w:rPr>
          <w:iCs/>
          <w:u w:val="single"/>
        </w:rPr>
        <w:t xml:space="preserve">)</w:t>
      </w:r>
      <w:r>
        <w:rPr>
          <w:u w:val="single"/>
        </w:rPr>
        <w:t xml:space="preserve">, с которыми Заказчиком заключены соглашения, являющиеся субъектами малого или среднего предпринимательства.</w:t>
      </w:r>
      <w:r>
        <w:rPr>
          <w:u w:val="single"/>
        </w:rPr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52"/>
        <w:gridCol w:w="56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запросе цен по результатам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запросе цен по результатам предварительного отбора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закупочной документации.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</w:t>
            </w:r>
            <w:r>
              <w:rPr>
                <w:sz w:val="20"/>
                <w:szCs w:val="20"/>
              </w:rPr>
              <w:t xml:space="preserve">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разделе 7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Стоимость заявки участника на ЭП является указанием участника на единый процент снижения (скидки) на весь перечень пре</w:t>
            </w:r>
            <w:r>
              <w:rPr>
                <w:b/>
                <w:bCs/>
                <w:sz w:val="20"/>
                <w:szCs w:val="20"/>
              </w:rPr>
              <w:t xml:space="preserve">длагаемых Участником товаров (работ, услуг). Размер скидки рассчитывается, как процент снижения ценового предложения Участника на ЭП, относительно начальной (максимальной) цены Договора, и распространяется на каждую позицию единичных расценок, указанных в </w:t>
            </w:r>
            <w:r>
              <w:rPr>
                <w:b/>
                <w:bCs/>
                <w:sz w:val="20"/>
                <w:szCs w:val="20"/>
              </w:rPr>
              <w:t xml:space="preserve">разделе 7 </w:t>
            </w:r>
            <w:r>
              <w:rPr>
                <w:b/>
                <w:bCs/>
                <w:sz w:val="20"/>
                <w:szCs w:val="20"/>
              </w:rPr>
              <w:t xml:space="preserve">«ТЕХНИЧЕСКАЯ ЧАСТЬ». В случае нарушения участником указанного порядка заявка участника может быть отклонена.</w:t>
            </w:r>
            <w:r>
              <w:rPr>
                <w:b/>
                <w:bCs/>
                <w:color w:val="ff0000"/>
                <w:sz w:val="20"/>
                <w:szCs w:val="20"/>
              </w:rPr>
            </w:r>
            <w:r>
              <w:rPr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09" w:type="pct"/>
            <w:textDirection w:val="lrTb"/>
            <w:noWrap w:val="false"/>
          </w:tcPr>
          <w:p>
            <w:pPr>
              <w:contextualSpacing/>
              <w:ind w:right="34"/>
              <w:widowControl w:val="off"/>
              <w:rPr>
                <w:rFonts w:eastAsia="Calibri"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rFonts w:eastAsia="Calibri"/>
                <w:bCs/>
                <w:color w:val="ff0000"/>
                <w:sz w:val="20"/>
                <w:szCs w:val="20"/>
              </w:rPr>
            </w:r>
            <w:r>
              <w:rPr>
                <w:rFonts w:eastAsia="Calibri"/>
                <w:bCs/>
                <w:color w:val="ff0000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соответствии со ст. 46 Федерального </w:t>
            </w:r>
            <w:r>
              <w:rPr>
                <w:i/>
                <w:sz w:val="18"/>
                <w:szCs w:val="18"/>
                <w:lang w:eastAsia="en-US"/>
              </w:rPr>
              <w:t xml:space="preserve">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</w:t>
            </w:r>
            <w:r>
              <w:rPr>
                <w:sz w:val="20"/>
                <w:szCs w:val="20"/>
              </w:rPr>
              <w:t xml:space="preserve">тник должен состоять в саморегулируемых организациях (СРО) и иметь право выполнять строительно-монтажные работы  в отношении объектов кап.строительства (кроме особо опасных, технически сложных и уникальных объектов, объектов использования атомной энергии).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отслеживаются Заказчиком самостоятельно по информации, размещенной на сайтах Единого реестра членов СРО:</w:t>
            </w:r>
            <w:r>
              <w:rPr>
                <w:sz w:val="20"/>
                <w:szCs w:val="20"/>
              </w:rPr>
              <w:br/>
              <w:t xml:space="preserve">-Национального объединения саморегулируемых организаций, основанных на членстве лиц, осуществляющих строительство (НОСТРОЙ) в сети «Интернет» по адресу: </w:t>
            </w:r>
            <w:hyperlink r:id="rId11" w:tooltip="http://reestr.nostroy.ru/reestr" w:history="1">
              <w:r>
                <w:rPr>
                  <w:rStyle w:val="994"/>
                  <w:sz w:val="20"/>
                  <w:szCs w:val="20"/>
                </w:rPr>
                <w:t xml:space="preserve">http://reestr.nostroy.ru/reestr</w:t>
              </w:r>
            </w:hyperlink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При этом: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1) Участники закупок</w:t>
            </w:r>
            <w:r>
              <w:rPr>
                <w:i/>
                <w:sz w:val="20"/>
                <w:szCs w:val="20"/>
              </w:rPr>
              <w:t xml:space="preserve"> любых проектно-изыскательских работ должны быть членами СРО. Исключением являются унитарные предприятия, государственные и муниципальные учреждения, юр. лица с гос. участием, но только по видам контрактов, описанных в ч. 2.1 ст. 47 и ч. 4.1 ст. 48 ГрК РФ.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2) Участники закупок любых работ по строительству, реконструкции, кап. ремонту должны быть членами СРО. Исключением являются: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участники, которые предложат цену контракта 10 млн. руб. и менее. Такие участники не обязаны быть членами СРО в силу ч. 2.1 ст. 52 ГрК РФ;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унитарные предприятия, государственные и муниципальные учреждения, юр. лица с гос. участием в случаях, которые перечислены в ч. 2.2 ст. 52 ГрК РФ.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3) Субподрядчики состоять в СРО не обязаны (ч. 2 ст. 47, ч. 4 ст. 48, ч. 2 ст. 52 ГрК РФ).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4) СРО, в которой состоит участник, должна иметь компенсационный фонд обеспечения возмещения вреда и компенсационный фонд обеспечения договорных </w:t>
            </w:r>
            <w:r>
              <w:rPr>
                <w:i/>
                <w:sz w:val="20"/>
                <w:szCs w:val="20"/>
              </w:rPr>
              <w:t xml:space="preserve">обязательств. 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</w:t>
            </w:r>
            <w:r>
              <w:rPr>
                <w:rFonts w:eastAsia="Calibri"/>
                <w:bCs/>
                <w:sz w:val="20"/>
                <w:szCs w:val="20"/>
              </w:rPr>
              <w:t xml:space="preserve">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</w:t>
            </w:r>
            <w:r>
              <w:rPr>
                <w:bCs/>
                <w:sz w:val="20"/>
                <w:szCs w:val="22"/>
              </w:rPr>
              <w:t xml:space="preserve">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Тываэнерго» размещена официальном сайте АО «Россети Сибирь Тываэнерго» </w:t>
            </w:r>
            <w:hyperlink r:id="rId12" w:tooltip="https://www.rosseti-sib.ru/" w:history="1">
              <w:r>
                <w:rPr>
                  <w:rStyle w:val="994"/>
                  <w:bCs/>
                  <w:sz w:val="20"/>
                  <w:szCs w:val="20"/>
                </w:rPr>
                <w:t xml:space="preserve">https://www.</w:t>
              </w:r>
              <w:r>
                <w:rPr>
                  <w:rStyle w:val="994"/>
                  <w:bCs/>
                  <w:sz w:val="20"/>
                  <w:szCs w:val="20"/>
                  <w:lang w:val="en-US"/>
                </w:rPr>
                <w:t xml:space="preserve">tuvaenergo</w:t>
              </w:r>
              <w:r>
                <w:rPr>
                  <w:rStyle w:val="994"/>
                  <w:bCs/>
                  <w:sz w:val="20"/>
                  <w:szCs w:val="20"/>
                </w:rPr>
                <w:t xml:space="preserve">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3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4" w:tooltip="https://npd.nalog.ru/check-status/" w:history="1">
              <w:r>
                <w:rPr>
                  <w:rStyle w:val="994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5" w:tooltip="http://www.zakupki.gov.ru" w:history="1">
              <w:r>
                <w:rPr>
                  <w:rStyle w:val="994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меры, утвержденном Постановлением Правительства РФ от 11.05.2022 N 851 "О мерах по реализации Указа Президента Российской Федерации </w:t>
            </w:r>
            <w:r>
              <w:rPr>
                <w:rFonts w:eastAsia="Calibri"/>
                <w:bCs/>
                <w:sz w:val="20"/>
                <w:szCs w:val="20"/>
              </w:rPr>
              <w:t xml:space="preserve">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Подрядчик должен быть обеспечен автотранспортом и спецтехникой (находящейся в собственности, лизинге или аренде), привлекаемыми для выполнения СМР, а именно: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бригадный автомобиль - 2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автомобильный кран (16 т.)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телескопическая автовышка - 2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бурильно-шнековая установка на автомобильном ходу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автомобиль бортовой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полуприцеп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сваебойная машина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самосвал (15 м3)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передвижные бытовки для проживания персонала на объекте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комплект машин для монтажа провода под натяжением  - 1 компл.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Вся привлекаема к выполнению работ спецтехника (находящаяся в собсвтенности, либо аренде) должна базироваться в регионе производства работ.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Справка по МТР по установленной ЗД форме.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2. Докумен</w:t>
            </w:r>
            <w:r>
              <w:rPr>
                <w:rFonts w:eastAsia="Calibri"/>
                <w:bCs/>
                <w:sz w:val="20"/>
                <w:szCs w:val="20"/>
              </w:rPr>
              <w:t xml:space="preserve">т</w:t>
            </w:r>
            <w:r>
              <w:rPr>
                <w:rFonts w:eastAsia="Calibri"/>
                <w:bCs/>
                <w:sz w:val="20"/>
                <w:szCs w:val="20"/>
              </w:rPr>
              <w:t xml:space="preserve">ы подтверждающие наличие в собственности автотранспорта и спец.техники (полисы ОСАГО или свидетельства о регистрации транспортных средств) либо договор аренды (с приложением подтверждающих документов о наличии автотранспорта и спец.техники у арендодателя).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3. Подтверждение наличия в собственности (либо аренде, с приложением подтверждающих документов о наличии базы в собственности арендодателя) базы для расположения спецтехники в регионе производства работ.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Численность рабочих, привлекаемых для выполнения СМР, должна составлять не менее 27 человек в том числе: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машинист экскаватора - 2 чел.;  машинист крана автомобильного и автовышки - 3 чел.;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машинист грузовой спецтехники - 2 чел.;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машинист бурильно-шнековой установки - 1 чел.;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инженер по строительному контролю -  1 чел.;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инженер по наладке и испытаниям вторичного оборудования - 4 чел., электромонтажник по силовым сетяи и оборудованию - 8 чел.; электромонтер-линейщик - 6 чел.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Каждый работник должен иметь профильное образование (либо пройти переподготовку) и иметь опыт работы не менее 3 лет по направлению деятельности, по которому он заявлен в качестве исполнителя работ.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Работники подрядчика или субподрядчика, привлечённые для выполнения СМР обязаны иметь как </w:t>
            </w:r>
            <w:r>
              <w:rPr>
                <w:rFonts w:eastAsia="Calibri"/>
                <w:bCs/>
                <w:sz w:val="20"/>
                <w:szCs w:val="20"/>
              </w:rPr>
              <w:t xml:space="preserve">минимум 3 группу по ЭБ, позволяющую выполнять работы в действующих электроустановках. На каждую бригаду должен быть один работник (производитель </w:t>
            </w:r>
            <w:r>
              <w:rPr>
                <w:rFonts w:eastAsia="Calibri"/>
                <w:bCs/>
                <w:sz w:val="20"/>
                <w:szCs w:val="20"/>
              </w:rPr>
              <w:t xml:space="preserve">работ) с группой по ЭБ 4 и выше.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В штатном расписании Участника в обязательном порядке должен состоять работник ОТиТБ, аттестованный в соответствии с нормами и правилами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Справка о кадровых ресурсах (по установленной форме в соответствии с приложением).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2. Форма КНД 1151111 «Расчет по страховым взносам», которая утверждена действующим приказом ФНС России, за последний отчетный период с отметками ИФНС о принятии или с приложением документов, подтверждающих факт отправки в ИФНС.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3. На положительную разницу между </w:t>
            </w:r>
            <w:r>
              <w:rPr>
                <w:rFonts w:eastAsia="Calibri"/>
                <w:bCs/>
                <w:sz w:val="20"/>
                <w:szCs w:val="20"/>
              </w:rPr>
              <w:t xml:space="preserve">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(первая страница и листы с записями о  настоящем и предыдущем месте работы) на</w:t>
            </w:r>
            <w:r>
              <w:rPr>
                <w:rFonts w:eastAsia="Calibri"/>
                <w:bCs/>
                <w:sz w:val="20"/>
                <w:szCs w:val="20"/>
              </w:rPr>
              <w:t xml:space="preserve"> работников, трудоустроенных после отчетного периода по форме КНД 1151111 или копии договоров гражданско-правового характера, заключенных на срок, превышающий период выполнения работ/оказание услуг по договору, рассчитанный от плановой даты его заключения.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4. Для подтверждения квалификации и опыта работников должны быть предоставлены документы об образовании, трудовая книжка (все страницы, для подтверждения стажа работы по направлению деятельности).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5. Удостоверения по ЭБ на весь привлекаемый для выполнения СМР персонал.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6. Документальное подтверждение аттестации сотрудника ОТиТБ, копия штатного расписания.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sz w:val="20"/>
                <w:szCs w:val="20"/>
              </w:rPr>
              <w:t xml:space="preserve">Копии комплекта документов по охране труда и технике безопасности при производстве работ, аттестационной комиссии, документов об аттестации персонала;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7. На машинистов спецтехники должны быть предоставлены копии соответствующих удостоверений.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1" w:name="_Toc476225272"/>
            <w:r/>
            <w:bookmarkStart w:id="2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1"/>
            <w:r/>
            <w:bookmarkEnd w:id="2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к тем участникам, которые прошли закупочную процедуру предварительного отбора в качестве коллективного участника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spacing w:after="60"/>
        <w:rPr>
          <w:b/>
        </w:rPr>
        <w:outlineLvl w:val="2"/>
      </w:pPr>
      <w:r>
        <w:t xml:space="preserve">2.6. Участник закупки вправе привлечь к исполнению договора соисполнителей (субподря</w:t>
      </w:r>
      <w:r>
        <w:t xml:space="preserve">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настоящего извещения, </w:t>
      </w:r>
      <w:r>
        <w:rPr>
          <w:b/>
        </w:rPr>
        <w:t xml:space="preserve">при этом </w:t>
      </w:r>
      <w:r>
        <w:rPr>
          <w:rFonts w:eastAsia="Calibri"/>
          <w:b/>
        </w:rPr>
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отбора.</w:t>
      </w:r>
      <w:r>
        <w:rPr>
          <w:b/>
        </w:rPr>
      </w:r>
      <w:r>
        <w:rPr>
          <w:b/>
        </w:rPr>
      </w:r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/>
      <w:bookmarkStart w:id="3" w:name="_Ref536541397"/>
      <w:r>
        <w:rPr>
          <w:rFonts w:ascii="Times New Roman" w:hAnsi="Times New Roman"/>
          <w:sz w:val="24"/>
          <w:szCs w:val="24"/>
        </w:rPr>
        <w:t xml:space="preserve">Порядок проведения закупки (этапов закупки), подведения итогов закупки</w:t>
      </w:r>
      <w:bookmarkEnd w:id="3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426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 результатам рассмотрения заявок участников закупки составляется протокол, в котором указывает</w:t>
      </w:r>
      <w:r>
        <w:t xml:space="preserve">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начальной (максимальной) цены догово</w:t>
      </w:r>
      <w:r>
        <w:t xml:space="preserve">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При проведении запроса цен в обязательном порядке проводится переторжка,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Переторжка проводится при условии допуска к участию в закупке одного и более участников.</w:t>
      </w:r>
      <w:r>
        <w:rPr>
          <w:bCs/>
        </w:rPr>
        <w:t xml:space="preserve"> Участник закупки вправе не участвовать в переторжке, в этом случае его заявка остается действующей с ранее объявленной ценой</w:t>
      </w:r>
      <w:r>
        <w:t xml:space="preserve">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bCs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Участники закупки, участвовавшие в переторжке и снизившие свою цену, обязаны дополните</w:t>
      </w:r>
      <w:r>
        <w:rPr>
          <w:bCs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Шаг переторжки определяется Закупочной комиссией и указывается в </w:t>
      </w:r>
      <w:r>
        <w:t xml:space="preserve">пункте 1.8. извещения о закупке</w:t>
      </w:r>
      <w:r>
        <w:rPr>
          <w:bCs/>
        </w:rPr>
        <w:t xml:space="preserve">. 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Время проведения первой процедуры переторжки (время ожидания ценовых предложений)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  <w:r>
        <w:rPr>
          <w:b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/>
        </w:rPr>
      </w:r>
      <w:r>
        <w:rPr>
          <w:rFonts w:ascii="Times New Roman" w:hAnsi="Times New Roman"/>
          <w:b w:val="0"/>
          <w:color w:val="000000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  <w:u w:val="single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</w:t>
      </w:r>
      <w:r>
        <w:rPr>
          <w:rFonts w:ascii="Times New Roman" w:hAnsi="Times New Roman"/>
          <w:sz w:val="24"/>
          <w:szCs w:val="24"/>
          <w:u w:val="single"/>
        </w:rPr>
        <w:t xml:space="preserve">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/>
          <w:u w:val="single"/>
        </w:rPr>
      </w:r>
      <w:r>
        <w:rPr>
          <w:rFonts w:ascii="Times New Roman" w:hAnsi="Times New Roman"/>
          <w:b w:val="0"/>
          <w:bCs w:val="0"/>
          <w:color w:val="000000"/>
          <w:u w:val="single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4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4"/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fill="ffffff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shd w:val="clear" w:color="auto" w:fill="auto"/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/>
        </w:rPr>
      </w:r>
      <w:r>
        <w:rPr>
          <w:rFonts w:ascii="Times New Roman" w:hAnsi="Times New Roman"/>
          <w:b w:val="0"/>
          <w:bCs w:val="0"/>
          <w:color w:val="000000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ИНН 1701029232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КПП 170101001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ОГРН 1021700509566   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ОКПО 40871124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ОКВЭД 35.12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ОКАТО 93401000000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ОКФС 16 ОКОПФ 12267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БИК 040407627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3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3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52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независимая гарантия должна быть безусловной и безотзывной;</w:t>
      </w:r>
      <w:r>
        <w:rPr>
          <w:color w:val="000000"/>
        </w:rPr>
      </w:r>
      <w:r>
        <w:rPr>
          <w:color w:val="000000"/>
        </w:rPr>
      </w:r>
    </w:p>
    <w:p>
      <w:pPr>
        <w:pStyle w:val="852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/>
          <w:lang w:eastAsia="en-US"/>
        </w:rPr>
        <w:t xml:space="preserve">по отдельности для каждого из этапов</w:t>
      </w:r>
      <w:r>
        <w:rPr>
          <w:color w:val="000000"/>
        </w:rPr>
        <w:t xml:space="preserve"> </w:t>
      </w:r>
      <w:r>
        <w:rPr>
          <w:bCs/>
          <w:color w:val="000000"/>
          <w:lang w:eastAsia="en-US"/>
        </w:rPr>
        <w:t xml:space="preserve">(единицы, партии продукции) </w:t>
      </w:r>
      <w:r>
        <w:rPr>
          <w:color w:val="000000"/>
        </w:rPr>
        <w:t xml:space="preserve">допускается только в случае одновременного соблюдения следующих условий:</w:t>
      </w:r>
      <w:r>
        <w:rPr>
          <w:color w:val="000000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852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/>
        </w:rPr>
      </w:r>
      <w:r>
        <w:rPr>
          <w:color w:val="000000"/>
        </w:rPr>
      </w:r>
    </w:p>
    <w:p>
      <w:pPr>
        <w:pStyle w:val="83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</w:t>
      </w:r>
      <w:r>
        <w:rPr>
          <w:bCs/>
        </w:rPr>
        <w:t xml:space="preserve">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  <w:r>
        <w:rPr>
          <w:bCs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  <w:r>
        <w:rPr>
          <w:bCs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  <w:r>
        <w:rPr>
          <w:bCs/>
        </w:rPr>
      </w:r>
    </w:p>
    <w:p>
      <w:pPr>
        <w:pStyle w:val="852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74"/>
        <w:gridCol w:w="2142"/>
        <w:gridCol w:w="1835"/>
        <w:gridCol w:w="2345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997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50"/>
        <w:gridCol w:w="2550"/>
        <w:gridCol w:w="2345"/>
        <w:gridCol w:w="2551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  <w:r>
        <w:rPr>
          <w:i/>
          <w:sz w:val="22"/>
        </w:rPr>
      </w:r>
    </w:p>
    <w:p>
      <w:pPr>
        <w:pStyle w:val="83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52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  <w:r>
        <w:rPr>
          <w:bCs/>
        </w:rPr>
      </w:r>
    </w:p>
    <w:p>
      <w:pPr>
        <w:pStyle w:val="1205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  <w:r>
        <w:rPr>
          <w:bCs w:val="0"/>
          <w:szCs w:val="24"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</w:t>
      </w:r>
      <w:r>
        <w:rPr>
          <w:bCs/>
        </w:rPr>
        <w:t xml:space="preserve">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</w:t>
      </w:r>
      <w:r>
        <w:rPr>
          <w:bCs/>
        </w:rPr>
        <w:t xml:space="preserve">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  <w:r>
        <w:rPr>
          <w:bCs/>
        </w:rPr>
      </w:r>
    </w:p>
    <w:p>
      <w:pPr>
        <w:pStyle w:val="833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205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6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833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</w:t>
      </w:r>
      <w:r>
        <w:t xml:space="preserve">аявке на участие в запросе цен, в которой содержится наименьшее ценовое предложение, присваивается первый номер.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Победителем запроса цен по результатам предварительного отбора признается участник, заявка которого соответствует требованиям, установленным извещением о закупке, и ценовое предложение которого содержит минимальную стоимость. </w:t>
      </w:r>
      <w:r>
        <w:rPr>
          <w:b/>
        </w:rP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</w:t>
      </w:r>
      <w:r>
        <w:t xml:space="preserve">законодательства, Стандарта и/или извещения о закупке, повлекшие необоснованное решение о выборе победителя </w:t>
      </w:r>
      <w: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участника </w:t>
      </w:r>
      <w: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t xml:space="preserve"> закупки и (или) заявка участника закупки не 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5" w:name="_Ref166158219"/>
      <w:r>
        <w:t xml:space="preserve">Заказчик вправе отменить закупку в любое время до подписания договора</w:t>
      </w:r>
      <w:bookmarkEnd w:id="5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6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rPr>
          <w:b/>
          <w:bCs/>
        </w:rPr>
        <w:t xml:space="preserve">Договор по результатам закупки заключается на начальную (максимальную) цену договора.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bookmarkEnd w:id="6"/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t xml:space="preserve">, Заказчик направляет подписанный электронной подписью с использованием программно-аппаратных средств ЭП проект договора в те</w:t>
      </w:r>
      <w:r>
        <w:t xml:space="preserve">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</w:t>
      </w:r>
      <w:r>
        <w:t xml:space="preserve">обеспечение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в иной форме</w:t>
      </w:r>
      <w:r>
        <w:t xml:space="preserve">, Заказчик направляет участнику закупки на адрес, указанный в заявке такого уч</w:t>
      </w:r>
      <w:r>
        <w:t xml:space="preserve">астника (путем направления электронного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</w:t>
      </w:r>
      <w:r>
        <w:t xml:space="preserve">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установлены требова</w:t>
      </w:r>
      <w:r>
        <w:t xml:space="preserve">ния 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</w:t>
      </w:r>
      <w:r>
        <w:t xml:space="preserve">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7"/>
      <w:r/>
      <w:r/>
    </w:p>
    <w:p>
      <w:pPr>
        <w:numPr>
          <w:ilvl w:val="0"/>
          <w:numId w:val="6"/>
        </w:numPr>
        <w:ind w:left="0" w:firstLine="426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0" w:firstLine="426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</w:t>
      </w:r>
      <w:r>
        <w:t xml:space="preserve">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8" w:name="_Ref119429963"/>
      <w:r>
        <w:t xml:space="preserve">При исполн</w:t>
      </w:r>
      <w: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833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42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2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2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2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tabs>
          <w:tab w:val="left" w:pos="0" w:leader="none"/>
        </w:tabs>
      </w:pPr>
      <w:r/>
      <w:r/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013"/>
        <w:jc w:val="center"/>
        <w:spacing w:before="0" w:after="6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Форма 1. Заявка на участие в запросе ЦЕН по результатам предварительного отбора</w:t>
      </w:r>
      <w:r>
        <w:rPr>
          <w:bCs/>
          <w:caps/>
          <w:sz w:val="24"/>
          <w:szCs w:val="24"/>
        </w:rPr>
      </w:r>
      <w:r>
        <w:rPr>
          <w:bCs/>
          <w:caps/>
          <w:sz w:val="24"/>
          <w:szCs w:val="24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запросе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</w:pPr>
      <w:r>
        <w:t xml:space="preserve">Изучив извещение о проведении запроса цен по результатам предварительного отбора № _______________ от «__» _______ 20__ </w:t>
      </w:r>
      <w:r>
        <w:rPr>
          <w:i/>
          <w:iCs/>
        </w:rPr>
        <w:t xml:space="preserve">(указывается номер извещения о проведении запроса цен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</w:pPr>
      <w:r>
        <w:rPr>
          <w:b/>
          <w:bCs/>
        </w:rPr>
        <w:t xml:space="preserve">1.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rPr>
          <w:b/>
        </w:rPr>
      </w:pPr>
      <w:r>
        <w:rPr>
          <w:b/>
        </w:rPr>
        <w:t xml:space="preserve">2.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</w:t>
      </w:r>
      <w:r>
        <w:rPr>
          <w:b/>
          <w:bCs/>
        </w:rPr>
        <w:t xml:space="preserve">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Изучив извещение о проведении запроса цен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tabs>
          <w:tab w:val="left" w:pos="1080" w:leader="none"/>
        </w:tabs>
        <w:rPr>
          <w:rStyle w:val="1203"/>
          <w:i w:val="0"/>
          <w:sz w:val="24"/>
        </w:rPr>
      </w:pPr>
      <w:r>
        <w:rPr>
          <w:rStyle w:val="1203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03"/>
          <w:i w:val="0"/>
          <w:sz w:val="24"/>
        </w:rPr>
      </w:r>
      <w:r>
        <w:rPr>
          <w:rStyle w:val="1203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03"/>
          <w:sz w:val="24"/>
          <w:lang w:val="en-US"/>
        </w:rPr>
      </w:pPr>
      <w:r>
        <w:t xml:space="preserve">- поставить товар, который указан в извещении о закупке </w:t>
      </w:r>
      <w:r>
        <w:rPr>
          <w:rStyle w:val="1203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запроса цен);</w:t>
      </w:r>
      <w:r>
        <w:rPr>
          <w:rStyle w:val="1203"/>
          <w:sz w:val="24"/>
          <w:lang w:val="en-US"/>
        </w:rPr>
      </w:r>
      <w:r>
        <w:rPr>
          <w:rStyle w:val="1203"/>
          <w:sz w:val="24"/>
          <w:lang w:val="en-US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03"/>
          <w:sz w:val="24"/>
        </w:rPr>
        <w:t xml:space="preserve">(в случае, если участник запроса цен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  <w:t xml:space="preserve">3. Статус заявки и декларация соответствия требованиями извещения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994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994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9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9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  <w:r>
        <w:rPr>
          <w:bCs/>
        </w:rPr>
      </w:r>
    </w:p>
    <w:p>
      <w:pPr>
        <w:pStyle w:val="1047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047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047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запроса цен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473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195"/>
        <w:gridCol w:w="1436"/>
        <w:gridCol w:w="1296"/>
        <w:gridCol w:w="1439"/>
        <w:gridCol w:w="1727"/>
        <w:gridCol w:w="1582"/>
        <w:gridCol w:w="1296"/>
        <w:gridCol w:w="1867"/>
      </w:tblGrid>
      <w:tr>
        <w:tblPrEx/>
        <w:trPr>
          <w:trHeight w:val="939"/>
        </w:trPr>
        <w:tc>
          <w:tcPr>
            <w:tcW w:w="153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1119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ind w:right="-109" w:firstLine="3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04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05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-47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55" w:type="pct"/>
            <w:textDirection w:val="lrTb"/>
            <w:noWrap w:val="false"/>
          </w:tcPr>
          <w:p>
            <w:pPr>
              <w:ind w:right="-109"/>
              <w:spacing w:after="60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53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1119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4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05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55" w:type="pc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5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1119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0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5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5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1119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0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5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5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1119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0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54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55" w:type="pct"/>
            <w:textDirection w:val="lrTb"/>
            <w:noWrap w:val="false"/>
          </w:tcPr>
          <w:p>
            <w:pPr>
              <w:ind w:right="34"/>
              <w:spacing w:after="6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fill="ffffff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33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Участник указывает свое ф</w:t>
      </w:r>
      <w:r>
        <w:rPr>
          <w:sz w:val="20"/>
          <w:highlight w:val="white"/>
        </w:rPr>
        <w:t xml:space="preserve">ирменное наименование (в т.ч. организационно-правовую форму) и свой адрес.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</w:t>
      </w:r>
      <w:r>
        <w:rPr>
          <w:sz w:val="20"/>
          <w:highlight w:val="white"/>
        </w:rPr>
        <w:t xml:space="preserve">. 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shd w:val="clear" w:color="ffffff" w:fill="ffffff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52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52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52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047"/>
        <w:ind w:left="0" w:firstLine="567"/>
        <w:jc w:val="both"/>
        <w:shd w:val="clear" w:color="ffffff" w:fill="ffff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затрат сил</w:t>
      </w:r>
      <w:r>
        <w:rPr>
          <w:sz w:val="20"/>
        </w:rPr>
        <w:t xml:space="preserve">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013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13"/>
        <w:jc w:val="center"/>
        <w:keepNext w:val="0"/>
        <w:spacing w:after="0"/>
        <w:widowControl w:val="off"/>
        <w:rPr>
          <w:sz w:val="24"/>
          <w:szCs w:val="24"/>
        </w:rPr>
      </w:pPr>
      <w:r/>
      <w:bookmarkStart w:id="10" w:name="_Toc536483690"/>
      <w:r/>
      <w:bookmarkStart w:id="11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ТЕХНИЧЕСКОЕ ПРЕДЛОЖЕНИЕ</w:t>
      </w:r>
      <w:bookmarkEnd w:id="10"/>
      <w:r/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2" w:name="_Toc298234710"/>
      <w:r/>
      <w:bookmarkStart w:id="13" w:name="_Toc255987072"/>
      <w:r/>
      <w:bookmarkStart w:id="14" w:name="_Toc307936260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5" w:name="_Toc536483691"/>
      <w:r/>
      <w:bookmarkStart w:id="16" w:name="_Toc536567159"/>
      <w:r>
        <w:rPr>
          <w:b/>
        </w:rPr>
        <w:t xml:space="preserve">Техническое предложение</w:t>
      </w:r>
      <w:bookmarkEnd w:id="12"/>
      <w:r/>
      <w:bookmarkEnd w:id="13"/>
      <w:r>
        <w:rPr>
          <w:b/>
        </w:rPr>
        <w:t xml:space="preserve"> </w:t>
      </w:r>
      <w:bookmarkEnd w:id="14"/>
      <w:r/>
      <w:bookmarkEnd w:id="15"/>
      <w:r/>
      <w:bookmarkEnd w:id="16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17" w:name="_Toc247081498"/>
      <w:r>
        <w:rPr>
          <w:b/>
        </w:rPr>
        <w:t xml:space="preserve">Способ и наименование закупки _______________________________________ </w:t>
      </w:r>
      <w:bookmarkEnd w:id="17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18" w:name="_Toc247081499"/>
      <w:r>
        <w:rPr>
          <w:b/>
          <w:i/>
        </w:rPr>
        <w:t xml:space="preserve">Суть технического предложения</w:t>
      </w:r>
      <w:bookmarkEnd w:id="18"/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19" w:name="_Toc247081501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0" w:name="_Toc247081500"/>
      <w:r>
        <w:rPr>
          <w:b/>
          <w:bCs/>
          <w:lang w:eastAsia="ar-SA"/>
        </w:rPr>
        <w:t xml:space="preserve">                М.П.</w:t>
      </w:r>
      <w:bookmarkEnd w:id="19"/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0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27"/>
        <w:gridCol w:w="1380"/>
        <w:gridCol w:w="1678"/>
        <w:gridCol w:w="3939"/>
        <w:gridCol w:w="2109"/>
        <w:gridCol w:w="288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86"/>
        <w:gridCol w:w="5429"/>
        <w:gridCol w:w="1853"/>
        <w:gridCol w:w="2053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13"/>
        <w:jc w:val="center"/>
        <w:keepNext w:val="0"/>
        <w:spacing w:after="0"/>
        <w:widowControl w:val="off"/>
        <w:rPr>
          <w:sz w:val="24"/>
          <w:szCs w:val="24"/>
        </w:rPr>
      </w:pPr>
      <w:r>
        <w:rPr>
          <w:sz w:val="20"/>
        </w:rPr>
        <w:br w:type="page" w:clear="all"/>
      </w:r>
      <w:bookmarkStart w:id="21" w:name="_Toc536483696"/>
      <w:r/>
      <w:bookmarkStart w:id="22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АНТИКОРРУПЦИОННЫЕ ОБЯЗАТЕЛЬСТВА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</w:t>
      </w:r>
      <w:r>
        <w:rPr>
          <w:color w:val="000000"/>
          <w:highlight w:val="white"/>
        </w:rPr>
        <w:t xml:space="preserve">нный в </w:t>
      </w:r>
      <w:r>
        <w:rPr>
          <w:color w:val="000000"/>
          <w:highlight w:val="white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  <w:t xml:space="preserve">Ознакомлен с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Антикоррупционной политикой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firstLine="709"/>
        <w:jc w:val="both"/>
        <w:widowControl w:val="off"/>
      </w:pPr>
      <w:r>
        <w:rPr>
          <w:highlight w:val="white"/>
        </w:rPr>
        <w:t xml:space="preserve">1.2. Согласен с принимаемыми в АО «Россети Сибирь Тываэнерго»</w:t>
      </w:r>
      <w:r>
        <w:rPr>
          <w:highlight w:val="white"/>
        </w:rPr>
        <w:t xml:space="preserve"> мерами, направле</w:t>
      </w:r>
      <w:r>
        <w:rPr>
          <w:highlight w:val="white"/>
        </w:rPr>
        <w:t xml:space="preserve">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</w:t>
      </w:r>
      <w:r>
        <w:t xml:space="preserve">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19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17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  <w:r>
        <w:rPr>
          <w:i/>
          <w:color w:val="2f2c2d"/>
          <w:shd w:val="clear" w:color="auto" w:fill="ffffff"/>
        </w:rPr>
      </w:r>
    </w:p>
    <w:p>
      <w:r/>
      <w:bookmarkEnd w:id="22"/>
      <w:r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23" w:name="_Toc307936265"/>
      <w:r/>
      <w:bookmarkStart w:id="24" w:name="_Toc255987075"/>
      <w:r/>
      <w:bookmarkStart w:id="25" w:name="_Toc298234713"/>
      <w:r/>
      <w:bookmarkStart w:id="26" w:name="_Toc536483699"/>
      <w:r>
        <w:rPr>
          <w:b/>
        </w:rPr>
        <w:t xml:space="preserve">ФОРМА 5</w:t>
      </w:r>
      <w:r>
        <w:rPr>
          <w:b/>
          <w:caps/>
        </w:rPr>
        <w:t xml:space="preserve">. </w:t>
      </w:r>
      <w:bookmarkEnd w:id="23"/>
      <w:r/>
      <w:bookmarkEnd w:id="24"/>
      <w:r/>
      <w:bookmarkEnd w:id="25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26"/>
      <w:r>
        <w:rPr>
          <w:b/>
          <w:caps/>
        </w:rPr>
      </w:r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27" w:name="_Toc127334290"/>
      <w:r/>
      <w:bookmarkEnd w:id="27"/>
      <w:r/>
      <w:r/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13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8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6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28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29" w:name="_Toc476225313"/>
            <w:r/>
            <w:bookmarkStart w:id="30" w:name="_Toc485198248"/>
            <w:r/>
            <w:bookmarkStart w:id="31" w:name="_Toc536483703"/>
            <w:r/>
            <w:bookmarkStart w:id="32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29"/>
            <w:r/>
            <w:bookmarkEnd w:id="30"/>
            <w:r/>
            <w:bookmarkEnd w:id="31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3" w:name="_Toc476225314"/>
            <w:r/>
            <w:bookmarkStart w:id="34" w:name="_Toc485198249"/>
            <w:r/>
            <w:bookmarkStart w:id="35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32"/>
            <w:r/>
            <w:bookmarkEnd w:id="33"/>
            <w:r/>
            <w:bookmarkEnd w:id="3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6" w:name="_Toc476225315"/>
            <w:r/>
            <w:bookmarkStart w:id="37" w:name="_Toc485198250"/>
            <w:r/>
            <w:bookmarkStart w:id="38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35"/>
            <w:r/>
            <w:bookmarkEnd w:id="36"/>
            <w:r/>
            <w:bookmarkEnd w:id="3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9" w:name="_Toc476225316"/>
            <w:r/>
            <w:bookmarkStart w:id="40" w:name="_Toc485198251"/>
            <w:r/>
            <w:bookmarkStart w:id="41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38"/>
            <w:r/>
            <w:bookmarkEnd w:id="39"/>
            <w:r/>
            <w:bookmarkEnd w:id="4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17"/>
            <w:r/>
            <w:bookmarkStart w:id="43" w:name="_Toc485198252"/>
            <w:r/>
            <w:bookmarkStart w:id="44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41"/>
            <w:r/>
            <w:bookmarkEnd w:id="42"/>
            <w:r/>
            <w:bookmarkEnd w:id="4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5" w:name="_Toc476225318"/>
            <w:r/>
            <w:bookmarkStart w:id="46" w:name="_Toc485198253"/>
            <w:r/>
            <w:bookmarkStart w:id="47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44"/>
            <w:r/>
            <w:bookmarkEnd w:id="45"/>
            <w:r/>
            <w:bookmarkEnd w:id="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19"/>
            <w:r/>
            <w:bookmarkStart w:id="49" w:name="_Toc485198254"/>
            <w:r/>
            <w:bookmarkStart w:id="50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47"/>
            <w:r/>
            <w:bookmarkEnd w:id="48"/>
            <w:r/>
            <w:bookmarkEnd w:id="4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1" w:name="_Toc476225320"/>
            <w:r/>
            <w:bookmarkStart w:id="52" w:name="_Toc485198255"/>
            <w:r/>
            <w:bookmarkStart w:id="53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50"/>
            <w:r/>
            <w:bookmarkEnd w:id="51"/>
            <w:r/>
            <w:bookmarkEnd w:id="5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4" w:name="_Toc476225321"/>
            <w:r/>
            <w:bookmarkStart w:id="55" w:name="_Toc485198256"/>
            <w:r/>
            <w:bookmarkStart w:id="56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53"/>
            <w:r/>
            <w:bookmarkEnd w:id="54"/>
            <w:r/>
            <w:bookmarkEnd w:id="5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2"/>
            <w:r/>
            <w:bookmarkStart w:id="58" w:name="_Toc485198257"/>
            <w:r/>
            <w:bookmarkStart w:id="59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56"/>
            <w:r/>
            <w:bookmarkEnd w:id="57"/>
            <w:r/>
            <w:bookmarkEnd w:id="5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0" w:name="_Toc476225323"/>
            <w:r/>
            <w:bookmarkStart w:id="61" w:name="_Toc485198258"/>
            <w:r/>
            <w:bookmarkStart w:id="62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9"/>
            <w:r/>
            <w:bookmarkEnd w:id="60"/>
            <w:r/>
            <w:bookmarkEnd w:id="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4"/>
            <w:r/>
            <w:bookmarkStart w:id="64" w:name="_Toc485198259"/>
            <w:r/>
            <w:bookmarkStart w:id="65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62"/>
            <w:r/>
            <w:bookmarkEnd w:id="63"/>
            <w:r/>
            <w:bookmarkEnd w:id="6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6" w:name="_Toc476225325"/>
            <w:r/>
            <w:bookmarkStart w:id="67" w:name="_Toc485198260"/>
            <w:r/>
            <w:bookmarkStart w:id="68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5"/>
            <w:r/>
            <w:bookmarkEnd w:id="66"/>
            <w:r/>
            <w:bookmarkEnd w:id="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9" w:name="_Toc476225326"/>
            <w:r/>
            <w:bookmarkStart w:id="70" w:name="_Toc485198261"/>
            <w:r/>
            <w:bookmarkStart w:id="71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8"/>
            <w:r/>
            <w:bookmarkEnd w:id="69"/>
            <w:r/>
            <w:bookmarkEnd w:id="7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7"/>
            <w:r/>
            <w:bookmarkStart w:id="73" w:name="_Toc485198262"/>
            <w:r/>
            <w:bookmarkStart w:id="74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1"/>
            <w:r/>
            <w:bookmarkEnd w:id="72"/>
            <w:r/>
            <w:bookmarkEnd w:id="7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5" w:name="_Toc476225328"/>
            <w:r/>
            <w:bookmarkStart w:id="76" w:name="_Toc485198263"/>
            <w:r/>
            <w:bookmarkStart w:id="77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4"/>
            <w:r/>
            <w:bookmarkEnd w:id="75"/>
            <w:r/>
            <w:bookmarkEnd w:id="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9"/>
            <w:r/>
            <w:bookmarkStart w:id="79" w:name="_Toc485198264"/>
            <w:r/>
            <w:bookmarkStart w:id="80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77"/>
            <w:r/>
            <w:bookmarkEnd w:id="78"/>
            <w:r/>
            <w:bookmarkEnd w:id="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1" w:name="_Toc476225330"/>
            <w:r/>
            <w:bookmarkStart w:id="82" w:name="_Toc485198265"/>
            <w:r/>
            <w:bookmarkStart w:id="83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0"/>
            <w:r/>
            <w:bookmarkEnd w:id="81"/>
            <w:r/>
            <w:bookmarkEnd w:id="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4" w:name="_Toc476225331"/>
            <w:r/>
            <w:bookmarkStart w:id="85" w:name="_Toc485198266"/>
            <w:r/>
            <w:bookmarkStart w:id="86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83"/>
            <w:r/>
            <w:bookmarkEnd w:id="84"/>
            <w:r/>
            <w:bookmarkEnd w:id="8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2"/>
            <w:r/>
            <w:bookmarkStart w:id="88" w:name="_Toc485198267"/>
            <w:r/>
            <w:bookmarkStart w:id="89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86"/>
            <w:r/>
            <w:bookmarkEnd w:id="87"/>
            <w:r/>
            <w:bookmarkEnd w:id="8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0" w:name="_Toc476225333"/>
            <w:r/>
            <w:bookmarkStart w:id="91" w:name="_Toc485198268"/>
            <w:r/>
            <w:bookmarkStart w:id="92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89"/>
            <w:r/>
            <w:bookmarkEnd w:id="90"/>
            <w:r/>
            <w:bookmarkEnd w:id="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4"/>
            <w:r/>
            <w:bookmarkStart w:id="94" w:name="_Toc485198269"/>
            <w:r/>
            <w:bookmarkStart w:id="95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92"/>
            <w:r/>
            <w:bookmarkEnd w:id="93"/>
            <w:r/>
            <w:bookmarkEnd w:id="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6" w:name="_Toc476225335"/>
            <w:r/>
            <w:bookmarkStart w:id="97" w:name="_Toc485198270"/>
            <w:r/>
            <w:bookmarkStart w:id="98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95"/>
            <w:r/>
            <w:bookmarkEnd w:id="96"/>
            <w:r/>
            <w:bookmarkEnd w:id="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9" w:name="_Toc476225336"/>
            <w:r/>
            <w:bookmarkStart w:id="100" w:name="_Toc485198271"/>
            <w:r/>
            <w:bookmarkStart w:id="101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98"/>
            <w:r/>
            <w:bookmarkEnd w:id="99"/>
            <w:r/>
            <w:bookmarkEnd w:id="10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7"/>
            <w:r/>
            <w:bookmarkStart w:id="103" w:name="_Toc485198272"/>
            <w:r/>
            <w:bookmarkStart w:id="104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01"/>
            <w:r/>
            <w:bookmarkEnd w:id="102"/>
            <w:r/>
            <w:bookmarkEnd w:id="10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5" w:name="_Toc476225338"/>
            <w:r/>
            <w:bookmarkStart w:id="106" w:name="_Toc485198273"/>
            <w:r/>
            <w:bookmarkStart w:id="107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04"/>
            <w:r/>
            <w:bookmarkEnd w:id="105"/>
            <w:r/>
            <w:bookmarkEnd w:id="1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9"/>
            <w:r/>
            <w:bookmarkStart w:id="109" w:name="_Toc485198274"/>
            <w:r/>
            <w:bookmarkStart w:id="110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07"/>
            <w:r/>
            <w:bookmarkEnd w:id="108"/>
            <w:r/>
            <w:bookmarkEnd w:id="10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1" w:name="_Toc476225340"/>
            <w:r/>
            <w:bookmarkStart w:id="112" w:name="_Toc485198275"/>
            <w:r/>
            <w:bookmarkStart w:id="113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10"/>
            <w:r/>
            <w:bookmarkEnd w:id="111"/>
            <w:r/>
            <w:bookmarkEnd w:id="1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4" w:name="_Toc476225341"/>
            <w:r/>
            <w:bookmarkStart w:id="115" w:name="_Toc485198276"/>
            <w:r/>
            <w:bookmarkStart w:id="116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13"/>
            <w:r/>
            <w:bookmarkEnd w:id="114"/>
            <w:r/>
            <w:bookmarkEnd w:id="11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42"/>
            <w:r/>
            <w:bookmarkStart w:id="118" w:name="_Toc485198277"/>
            <w:r/>
            <w:bookmarkStart w:id="119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16"/>
            <w:r/>
            <w:bookmarkEnd w:id="117"/>
            <w:r/>
            <w:bookmarkEnd w:id="11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0" w:name="_Toc476225343"/>
            <w:r/>
            <w:bookmarkStart w:id="121" w:name="_Toc485198278"/>
            <w:r/>
            <w:bookmarkStart w:id="122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19"/>
            <w:r/>
            <w:bookmarkEnd w:id="120"/>
            <w:r/>
            <w:bookmarkEnd w:id="1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44"/>
            <w:r/>
            <w:bookmarkStart w:id="124" w:name="_Toc485198279"/>
            <w:r/>
            <w:bookmarkStart w:id="125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22"/>
            <w:r/>
            <w:bookmarkEnd w:id="123"/>
            <w:r/>
            <w:bookmarkEnd w:id="12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6" w:name="_Toc476225345"/>
            <w:r/>
            <w:bookmarkStart w:id="127" w:name="_Toc485198280"/>
            <w:r/>
            <w:bookmarkStart w:id="128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25"/>
            <w:r/>
            <w:bookmarkEnd w:id="126"/>
            <w:r/>
            <w:bookmarkEnd w:id="12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29" w:name="_Toc476225346"/>
            <w:r/>
            <w:bookmarkStart w:id="130" w:name="_Toc485198281"/>
            <w:r/>
            <w:bookmarkStart w:id="131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28"/>
            <w:r/>
            <w:bookmarkEnd w:id="129"/>
            <w:r/>
            <w:bookmarkEnd w:id="130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47"/>
            <w:r/>
            <w:bookmarkStart w:id="133" w:name="_Toc485198282"/>
            <w:r/>
            <w:bookmarkStart w:id="134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31"/>
            <w:r/>
            <w:bookmarkEnd w:id="132"/>
            <w:r/>
            <w:bookmarkEnd w:id="13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5" w:name="_Toc476225348"/>
            <w:r/>
            <w:bookmarkStart w:id="136" w:name="_Toc485198283"/>
            <w:r/>
            <w:bookmarkStart w:id="137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34"/>
            <w:r/>
            <w:bookmarkEnd w:id="135"/>
            <w:r/>
            <w:bookmarkEnd w:id="1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9"/>
            <w:r/>
            <w:bookmarkStart w:id="139" w:name="_Toc485198284"/>
            <w:r/>
            <w:bookmarkStart w:id="140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37"/>
            <w:r/>
            <w:bookmarkEnd w:id="138"/>
            <w:r/>
            <w:bookmarkEnd w:id="13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1" w:name="_Toc476225350"/>
            <w:r/>
            <w:bookmarkStart w:id="142" w:name="_Toc485198285"/>
            <w:r/>
            <w:bookmarkStart w:id="143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40"/>
            <w:r/>
            <w:bookmarkEnd w:id="141"/>
            <w:r/>
            <w:bookmarkEnd w:id="14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4" w:name="_Toc476225351"/>
            <w:r/>
            <w:bookmarkStart w:id="145" w:name="_Toc485198286"/>
            <w:r/>
            <w:bookmarkStart w:id="146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43"/>
            <w:r/>
            <w:bookmarkEnd w:id="144"/>
            <w:r/>
            <w:bookmarkEnd w:id="14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52"/>
            <w:r/>
            <w:bookmarkStart w:id="148" w:name="_Toc485198287"/>
            <w:r/>
            <w:bookmarkStart w:id="149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46"/>
            <w:r/>
            <w:bookmarkEnd w:id="147"/>
            <w:r/>
            <w:bookmarkEnd w:id="14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476225353"/>
            <w:r/>
            <w:bookmarkStart w:id="151" w:name="_Toc485198288"/>
            <w:r/>
            <w:bookmarkStart w:id="152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49"/>
            <w:r/>
            <w:bookmarkEnd w:id="150"/>
            <w:r/>
            <w:bookmarkEnd w:id="1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54"/>
            <w:r/>
            <w:bookmarkStart w:id="154" w:name="_Toc485198289"/>
            <w:r/>
            <w:bookmarkStart w:id="155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52"/>
            <w:r/>
            <w:bookmarkEnd w:id="153"/>
            <w:r/>
            <w:bookmarkEnd w:id="15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476225355"/>
            <w:r/>
            <w:bookmarkStart w:id="157" w:name="_Toc485198290"/>
            <w:r/>
            <w:bookmarkStart w:id="158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55"/>
            <w:r/>
            <w:bookmarkEnd w:id="156"/>
            <w:r/>
            <w:bookmarkEnd w:id="15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476225356"/>
            <w:r/>
            <w:bookmarkStart w:id="160" w:name="_Toc485198291"/>
            <w:r/>
            <w:bookmarkStart w:id="161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58"/>
            <w:r/>
            <w:bookmarkEnd w:id="159"/>
            <w:r/>
            <w:bookmarkEnd w:id="16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57"/>
            <w:r/>
            <w:bookmarkStart w:id="163" w:name="_Toc485198292"/>
            <w:r/>
            <w:bookmarkStart w:id="164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61"/>
            <w:r/>
            <w:bookmarkEnd w:id="162"/>
            <w:r/>
            <w:bookmarkEnd w:id="16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476225358"/>
            <w:r/>
            <w:bookmarkStart w:id="166" w:name="_Toc485198293"/>
            <w:r/>
            <w:bookmarkStart w:id="167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64"/>
            <w:r/>
            <w:bookmarkEnd w:id="165"/>
            <w:r/>
            <w:bookmarkEnd w:id="1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476225359"/>
            <w:r/>
            <w:bookmarkStart w:id="170" w:name="_Toc485198294"/>
            <w:r/>
            <w:bookmarkStart w:id="171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68"/>
            <w:r/>
            <w:bookmarkEnd w:id="169"/>
            <w:r/>
            <w:bookmarkEnd w:id="17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60"/>
            <w:r/>
            <w:bookmarkStart w:id="173" w:name="_Toc485198295"/>
            <w:r/>
            <w:bookmarkStart w:id="174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71"/>
            <w:r/>
            <w:bookmarkEnd w:id="172"/>
            <w:r/>
            <w:bookmarkEnd w:id="17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476225361"/>
            <w:r/>
            <w:bookmarkStart w:id="176" w:name="_Toc485198296"/>
            <w:r/>
            <w:bookmarkStart w:id="177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74"/>
            <w:r/>
            <w:bookmarkEnd w:id="175"/>
            <w:r/>
            <w:bookmarkEnd w:id="1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62"/>
            <w:r/>
            <w:bookmarkStart w:id="179" w:name="_Toc485198297"/>
            <w:r/>
            <w:bookmarkStart w:id="180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77"/>
            <w:r/>
            <w:bookmarkEnd w:id="178"/>
            <w:r/>
            <w:bookmarkEnd w:id="1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476225363"/>
            <w:r/>
            <w:bookmarkStart w:id="182" w:name="_Toc485198298"/>
            <w:r/>
            <w:bookmarkStart w:id="183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80"/>
            <w:r/>
            <w:bookmarkEnd w:id="181"/>
            <w:r/>
            <w:bookmarkEnd w:id="1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476225364"/>
            <w:r/>
            <w:bookmarkStart w:id="185" w:name="_Toc485198299"/>
            <w:r/>
            <w:bookmarkStart w:id="186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83"/>
            <w:r/>
            <w:bookmarkEnd w:id="184"/>
            <w:r/>
            <w:bookmarkEnd w:id="18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65"/>
            <w:r/>
            <w:bookmarkStart w:id="188" w:name="_Toc485198300"/>
            <w:r/>
            <w:bookmarkStart w:id="189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86"/>
            <w:r/>
            <w:bookmarkEnd w:id="187"/>
            <w:r/>
            <w:bookmarkEnd w:id="18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476225366"/>
            <w:r/>
            <w:bookmarkStart w:id="191" w:name="_Toc485198301"/>
            <w:r/>
            <w:bookmarkStart w:id="192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89"/>
            <w:r/>
            <w:bookmarkEnd w:id="190"/>
            <w:r/>
            <w:bookmarkEnd w:id="1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67"/>
            <w:r/>
            <w:bookmarkStart w:id="194" w:name="_Toc485198302"/>
            <w:r/>
            <w:bookmarkStart w:id="195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2"/>
            <w:r/>
            <w:bookmarkEnd w:id="193"/>
            <w:r/>
            <w:bookmarkEnd w:id="1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476225368"/>
            <w:r/>
            <w:bookmarkStart w:id="197" w:name="_Toc485198303"/>
            <w:r/>
            <w:bookmarkStart w:id="198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95"/>
            <w:r/>
            <w:bookmarkEnd w:id="196"/>
            <w:r/>
            <w:bookmarkEnd w:id="1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476225369"/>
            <w:r/>
            <w:bookmarkStart w:id="200" w:name="_Toc485198304"/>
            <w:r/>
            <w:bookmarkStart w:id="201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98"/>
            <w:r/>
            <w:bookmarkEnd w:id="199"/>
            <w:r/>
            <w:bookmarkEnd w:id="20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70"/>
            <w:r/>
            <w:bookmarkStart w:id="203" w:name="_Toc485198305"/>
            <w:r/>
            <w:bookmarkStart w:id="204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1"/>
            <w:r/>
            <w:bookmarkEnd w:id="202"/>
            <w:r/>
            <w:bookmarkEnd w:id="20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476225371"/>
            <w:r/>
            <w:bookmarkStart w:id="206" w:name="_Toc485198306"/>
            <w:r/>
            <w:bookmarkStart w:id="207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04"/>
            <w:r/>
            <w:bookmarkEnd w:id="205"/>
            <w:r/>
            <w:bookmarkEnd w:id="2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72"/>
            <w:r/>
            <w:bookmarkStart w:id="209" w:name="_Toc485198307"/>
            <w:r/>
            <w:bookmarkStart w:id="210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07"/>
            <w:r/>
            <w:bookmarkEnd w:id="208"/>
            <w:r/>
            <w:bookmarkEnd w:id="20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1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4" w:name="_Toc476225375"/>
      <w:r/>
      <w:bookmarkStart w:id="215" w:name="_Toc485198310"/>
      <w:r/>
      <w:bookmarkStart w:id="216" w:name="_Toc536483767"/>
      <w:r/>
      <w:bookmarkEnd w:id="213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14"/>
      <w:r/>
      <w:bookmarkEnd w:id="215"/>
      <w:r/>
      <w:bookmarkEnd w:id="216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7" w:name="_Toc476225376"/>
      <w:r/>
      <w:bookmarkStart w:id="218" w:name="_Toc485198311"/>
      <w:r/>
      <w:bookmarkStart w:id="219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17"/>
      <w:r/>
      <w:bookmarkEnd w:id="218"/>
      <w:r/>
      <w:bookmarkEnd w:id="219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0" w:name="_Toc404866844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1" w:name="_Toc476225377"/>
      <w:r/>
      <w:bookmarkStart w:id="222" w:name="_Toc485198312"/>
      <w:r/>
      <w:bookmarkStart w:id="223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0"/>
      <w:r/>
      <w:bookmarkEnd w:id="221"/>
      <w:r/>
      <w:bookmarkEnd w:id="222"/>
      <w:r/>
      <w:bookmarkEnd w:id="223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24" w:name="_Toc404866845"/>
      <w:r/>
      <w:bookmarkStart w:id="225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6" w:name="_Toc476225378"/>
      <w:r/>
      <w:bookmarkStart w:id="227" w:name="_Toc485198313"/>
      <w:r/>
      <w:bookmarkStart w:id="228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24"/>
      <w:r/>
      <w:bookmarkEnd w:id="225"/>
      <w:r/>
      <w:bookmarkEnd w:id="226"/>
      <w:r/>
      <w:bookmarkEnd w:id="227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28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9" w:name="_Toc404866846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0" w:name="_Toc476225379"/>
      <w:r/>
      <w:bookmarkStart w:id="231" w:name="_Toc485198314"/>
      <w:r/>
      <w:bookmarkStart w:id="232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29"/>
      <w:r/>
      <w:bookmarkEnd w:id="230"/>
      <w:r/>
      <w:bookmarkEnd w:id="231"/>
      <w:r/>
      <w:bookmarkEnd w:id="232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13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33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33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34" w:name="_Toc536567239"/>
      <w:r/>
      <w:bookmarkStart w:id="235" w:name="_Toc5779098"/>
      <w:r/>
      <w:bookmarkStart w:id="236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34"/>
      <w:r/>
      <w:bookmarkEnd w:id="235"/>
      <w:r/>
      <w:bookmarkEnd w:id="236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</w:t>
      </w:r>
      <w:r>
        <w:rPr>
          <w:color w:val="000000"/>
          <w:sz w:val="26"/>
          <w:szCs w:val="26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1013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bookmarkStart w:id="237" w:name="_Toc536483774"/>
      <w:r/>
      <w:bookmarkStart w:id="238" w:name="_Toc5779099"/>
      <w:r>
        <w:rPr>
          <w:caps/>
          <w:sz w:val="24"/>
          <w:szCs w:val="24"/>
        </w:rPr>
        <w:t xml:space="preserve">ФОРМА 8. Справка о материально-технических ресурсах</w:t>
      </w:r>
      <w:bookmarkEnd w:id="237"/>
      <w:r/>
      <w:bookmarkEnd w:id="238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ind w:right="34" w:firstLine="567"/>
        <w:widowControl w:val="off"/>
        <w:rPr>
          <w:bCs/>
        </w:rPr>
        <w:outlineLvl w:val="0"/>
      </w:pPr>
      <w:r/>
      <w:bookmarkStart w:id="239" w:name="_Toc476225387"/>
      <w:r/>
      <w:bookmarkStart w:id="240" w:name="_Toc485198322"/>
      <w:r/>
      <w:bookmarkStart w:id="241" w:name="_Toc536483775"/>
      <w:r/>
      <w:bookmarkStart w:id="242" w:name="_Toc536567241"/>
      <w:r/>
      <w:bookmarkStart w:id="243" w:name="_Toc5779100"/>
      <w:r>
        <w:rPr>
          <w:bCs/>
        </w:rPr>
        <w:t xml:space="preserve">Способ и наименование закупки, с указанием № на ЭП __________________</w:t>
      </w:r>
      <w:bookmarkEnd w:id="239"/>
      <w:r/>
      <w:bookmarkEnd w:id="240"/>
      <w:r/>
      <w:bookmarkEnd w:id="241"/>
      <w:r/>
      <w:bookmarkEnd w:id="242"/>
      <w:r/>
      <w:bookmarkEnd w:id="243"/>
      <w:r>
        <w:rPr>
          <w:bCs/>
        </w:rPr>
      </w:r>
      <w:r>
        <w:rPr>
          <w:bCs/>
        </w:rPr>
      </w:r>
    </w:p>
    <w:p>
      <w:pPr>
        <w:ind w:right="34" w:firstLine="567"/>
        <w:widowControl w:val="off"/>
        <w:rPr>
          <w:i/>
          <w:iCs/>
          <w:sz w:val="22"/>
          <w:szCs w:val="22"/>
          <w:lang w:eastAsia="ar-SA"/>
        </w:rPr>
        <w:outlineLvl w:val="0"/>
      </w:pPr>
      <w:r/>
      <w:bookmarkStart w:id="244" w:name="_Toc476225388"/>
      <w:r/>
      <w:bookmarkStart w:id="245" w:name="_Toc485198323"/>
      <w:r/>
      <w:bookmarkStart w:id="246" w:name="_Toc536483776"/>
      <w:r/>
      <w:bookmarkStart w:id="247" w:name="_Toc536567242"/>
      <w:r/>
      <w:bookmarkStart w:id="248" w:name="_Toc5779101"/>
      <w:r>
        <w:rPr>
          <w:bCs/>
          <w:sz w:val="22"/>
          <w:szCs w:val="22"/>
          <w:lang w:eastAsia="ar-SA"/>
        </w:rPr>
        <w:t xml:space="preserve">Наименование и адрес участника  </w:t>
      </w:r>
      <w:r>
        <w:rPr>
          <w:bCs/>
          <w:i/>
          <w:iCs/>
          <w:sz w:val="22"/>
          <w:szCs w:val="22"/>
          <w:lang w:eastAsia="ar-SA"/>
        </w:rPr>
        <w:t xml:space="preserve">(генподрядчика)_____________________________</w:t>
      </w:r>
      <w:bookmarkEnd w:id="244"/>
      <w:r/>
      <w:bookmarkEnd w:id="245"/>
      <w:r/>
      <w:bookmarkEnd w:id="246"/>
      <w:r/>
      <w:bookmarkEnd w:id="247"/>
      <w:r/>
      <w:bookmarkEnd w:id="248"/>
      <w:r>
        <w:rPr>
          <w:i/>
          <w:iCs/>
          <w:sz w:val="22"/>
          <w:szCs w:val="22"/>
          <w:lang w:eastAsia="ar-SA"/>
        </w:rPr>
      </w:r>
      <w:r>
        <w:rPr>
          <w:i/>
          <w:i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Наименование субподрядчиков (членов коллективного участника):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1.____________________________________________________________________________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2. 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….___________________________________________________________________________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701"/>
        <w:gridCol w:w="1559"/>
        <w:gridCol w:w="1418"/>
        <w:gridCol w:w="1276"/>
        <w:gridCol w:w="12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МТР (марка, основные. характеристики)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 выпуска (производства)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Идентификационные учетные данные МТР (гос. регистрац. номер для автотранспорта, инв. №, и т.п.)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Принадлежность, право собственности или иное право (в случае аренды указать арендодателя)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Предназначение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Примечание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Здания и помещения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sz w:val="20"/>
              </w:rPr>
              <w:t xml:space="preserve">Автотранспорт и спецтехника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Компьютеры и оргтехника 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Специализированное лицензионное программное обеспечение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540" w:right="34" w:firstLine="567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                              ____________________________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(Подпись уполномоченного представителя)</w:t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  <w:t xml:space="preserve">(ФИО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ab/>
        <w:t xml:space="preserve">МП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709"/>
        <w:spacing w:after="120"/>
        <w:widowControl w:val="off"/>
      </w:pPr>
      <w:r>
        <w:t xml:space="preserve">Инструкции по заполнению: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В таблице указываются сведения только об основных машинах и механизмах, измерительных и испытательных установках, специальном оборудовании которые будут применяться при выполнении работ согласно договору.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Обязательны</w:t>
      </w:r>
      <w:r>
        <w:t xml:space="preserve">м является указание принадлежности МТР (подрядчик, субподрядчик, аренда и т.п.), с учетом распределения выполнения объемов работ. По всем видам автотранспортной техники необходимо приложить полиса ОСАГО или свидетельства о регистрации транспортных средств.</w:t>
      </w:r>
      <w:r/>
    </w:p>
    <w:p>
      <w:pPr>
        <w:jc w:val="center"/>
        <w:widowControl w:val="off"/>
        <w:rPr>
          <w:b/>
          <w:caps/>
        </w:rPr>
      </w:pPr>
      <w:r>
        <w:br w:type="page" w:clear="all"/>
      </w:r>
      <w:bookmarkStart w:id="249" w:name="_Toc536483777"/>
      <w:r/>
      <w:bookmarkStart w:id="250" w:name="_Toc5779102"/>
      <w:r>
        <w:rPr>
          <w:b/>
          <w:caps/>
        </w:rPr>
        <w:t xml:space="preserve">ФОРМА 9. Справка о кадровых ресурсах</w:t>
      </w:r>
      <w:bookmarkEnd w:id="249"/>
      <w:r/>
      <w:bookmarkEnd w:id="250"/>
      <w:r>
        <w:rPr>
          <w:b/>
          <w:caps/>
        </w:rPr>
      </w:r>
      <w:r>
        <w:rPr>
          <w:b/>
          <w:caps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51" w:name="_Toc307936277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Справка о кадровых ресурсах</w:t>
      </w:r>
      <w:bookmarkEnd w:id="251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Участник закупки (генподрядчик): 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>
        <w:t xml:space="preserve">Субподрядчики (члены коллективного участника):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1. ________________________________________________________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2. ________________________________________________________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…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209"/>
        <w:gridCol w:w="1453"/>
        <w:gridCol w:w="1380"/>
        <w:gridCol w:w="1334"/>
        <w:gridCol w:w="1373"/>
        <w:gridCol w:w="1336"/>
        <w:gridCol w:w="1336"/>
      </w:tblGrid>
      <w:tr>
        <w:tblPrEx/>
        <w:trPr>
          <w:tblHeader/>
        </w:trPr>
        <w:tc>
          <w:tcPr>
            <w:tcW w:w="1060" w:type="pct"/>
            <w:vAlign w:val="center"/>
            <w:vMerge w:val="restar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Штатный персонал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35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9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  <w:tblHeader/>
        </w:trPr>
        <w:tc>
          <w:tcPr>
            <w:tcW w:w="1060" w:type="pct"/>
            <w:vAlign w:val="center"/>
            <w:vMerge w:val="continue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Руководящий,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Инженерно-технический,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и специалисты,  в т.ч.: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строительных специальностей 3- 6 разрядов,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Электромонтажники-линейщики,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оборудования вторичных коммутаций, в т.ч. релейщики и т.п.,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Наладчики, инженеры-наладчики, чел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специальности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2. Основной персонал рабочих специальностей, привлекаемый для выполнения работ по договору, по видам выполняемых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73"/>
        <w:gridCol w:w="2464"/>
        <w:gridCol w:w="1644"/>
        <w:gridCol w:w="1128"/>
        <w:gridCol w:w="2205"/>
        <w:gridCol w:w="2507"/>
      </w:tblGrid>
      <w:tr>
        <w:tblPrEx/>
        <w:trPr>
          <w:trHeight w:val="551"/>
          <w:tblHeader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Персонал, (специальность, разряд)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1. Подготовительные 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2. Основные объекты строительства.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В таблице 2 указываются сведения </w:t>
      </w:r>
      <w:r>
        <w:rPr>
          <w:b/>
          <w:sz w:val="20"/>
          <w:szCs w:val="20"/>
        </w:rPr>
        <w:t xml:space="preserve">только о персонале основных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</w:t>
      </w:r>
      <w:r>
        <w:rPr>
          <w:sz w:val="20"/>
          <w:szCs w:val="20"/>
        </w:rPr>
        <w:t xml:space="preserve">. При этом в зависимости от типа объекта и необходимости привлечения персонала определенной специальности, в </w:t>
      </w:r>
      <w:r>
        <w:rPr>
          <w:b/>
          <w:sz w:val="20"/>
          <w:szCs w:val="20"/>
        </w:rPr>
        <w:t xml:space="preserve">обязательном</w:t>
      </w:r>
      <w:r>
        <w:rPr>
          <w:sz w:val="20"/>
          <w:szCs w:val="20"/>
        </w:rPr>
        <w:t xml:space="preserve"> порядке указываются сведения о наличии следующего персонала: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Рабочие строительных специальностей 3- 6 разрядов;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Электромонтажники-линейщики;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основного электротехнического оборудования;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оборудования вторичных коммутаций;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Наладчики, инженеры-наладчики.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Кроме указанных, участник вправе указать персонал иных специальностей, которые, по его мнению, необходимы для выполнения ра</w:t>
      </w:r>
      <w:r>
        <w:rPr>
          <w:sz w:val="20"/>
          <w:szCs w:val="20"/>
        </w:rPr>
        <w:t xml:space="preserve">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объемов работ.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3. Сведения о персонале, привлекаемом для выполнения пуско-наладочных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2"/>
        <w:gridCol w:w="2077"/>
        <w:gridCol w:w="2525"/>
        <w:gridCol w:w="1564"/>
        <w:gridCol w:w="1832"/>
        <w:gridCol w:w="2001"/>
      </w:tblGrid>
      <w:tr>
        <w:tblPrEx/>
        <w:trPr>
          <w:trHeight w:val="551"/>
          <w:tblHeader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4. Сведения о персонале, привлекаемом для выполнения проектных работ (разработки проектной и рабочей документации)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4"/>
        <w:gridCol w:w="2069"/>
        <w:gridCol w:w="2540"/>
        <w:gridCol w:w="1564"/>
        <w:gridCol w:w="1831"/>
        <w:gridCol w:w="1993"/>
      </w:tblGrid>
      <w:tr>
        <w:tblPrEx/>
        <w:trPr>
          <w:trHeight w:val="551"/>
          <w:tblHeader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035"/>
        <w:gridCol w:w="1271"/>
        <w:gridCol w:w="4287"/>
      </w:tblGrid>
      <w:tr>
        <w:tblPrEx/>
        <w:trPr/>
        <w:tc>
          <w:tcPr>
            <w:tcBorders>
              <w:bottom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М. П.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</w:t>
      </w:r>
      <w:r>
        <w:rPr>
          <w:sz w:val="20"/>
          <w:szCs w:val="20"/>
        </w:rPr>
        <w:t xml:space="preserve">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  <w:szCs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наличия в предмете закупки требуемых работ, заполняются таблицы 3, 4. При отсутствии данного вида работ в таблице приводятся слова «не требуется».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bCs/>
          <w:iCs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Данная форма требуется в составе документации о закупке только в случае проведения процедур на право заключения договора на строительство (реконструкцию) </w:t>
      </w:r>
      <w:r>
        <w:rPr>
          <w:sz w:val="20"/>
          <w:szCs w:val="20"/>
        </w:rPr>
        <w:t xml:space="preserve">объектов</w:t>
      </w:r>
      <w:r>
        <w:rPr>
          <w:bCs/>
          <w:iCs/>
          <w:color w:val="000000"/>
          <w:sz w:val="20"/>
          <w:szCs w:val="20"/>
        </w:rPr>
        <w:t xml:space="preserve">.</w:t>
      </w:r>
      <w:r>
        <w:rPr>
          <w:bCs/>
          <w:iCs/>
          <w:sz w:val="20"/>
          <w:szCs w:val="20"/>
        </w:rPr>
      </w:r>
      <w:r>
        <w:rPr>
          <w:bCs/>
          <w:iCs/>
          <w:sz w:val="20"/>
          <w:szCs w:val="20"/>
        </w:rPr>
      </w:r>
    </w:p>
    <w:p>
      <w:pPr>
        <w:pStyle w:val="1013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013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  <w:lang w:val="ru-RU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11.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13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013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lang w:val="ru-RU" w:eastAsia="ru-RU"/>
        </w:rPr>
      </w:pPr>
      <w:r>
        <w:rPr>
          <w:bCs/>
          <w:caps/>
          <w:sz w:val="24"/>
          <w:szCs w:val="24"/>
          <w:lang w:val="ru-RU" w:eastAsia="ru-RU"/>
        </w:rPr>
        <w:t xml:space="preserve">ФОРМА 12. независимая гарантия</w:t>
      </w:r>
      <w:r>
        <w:rPr>
          <w:bCs/>
          <w:caps/>
          <w:color w:val="000000"/>
          <w:sz w:val="24"/>
          <w:szCs w:val="24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lang w:val="ru-RU" w:eastAsia="ru-RU"/>
        </w:rPr>
      </w:r>
      <w:r>
        <w:rPr>
          <w:bCs/>
          <w:caps/>
          <w:color w:val="000000"/>
          <w:sz w:val="24"/>
          <w:szCs w:val="24"/>
          <w:lang w:val="ru-RU" w:eastAsia="ru-RU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206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г. ________</w:t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</w:r>
      <w:r>
        <w:rPr>
          <w:rStyle w:val="1206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 _____________________ (</w:t>
      </w:r>
      <w:r>
        <w:rPr>
          <w:rStyle w:val="1206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206"/>
          <w:sz w:val="26"/>
          <w:szCs w:val="26"/>
          <w:highlight w:val="white"/>
        </w:rPr>
        <w:t xml:space="preserve"> </w:t>
      </w:r>
      <w:r>
        <w:rPr>
          <w:rStyle w:val="1206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206"/>
          <w:sz w:val="26"/>
          <w:szCs w:val="26"/>
          <w:highlight w:val="white"/>
        </w:rPr>
        <w:t xml:space="preserve"> </w:t>
      </w:r>
      <w:r>
        <w:rPr>
          <w:rStyle w:val="1206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206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206"/>
          <w:i/>
          <w:iCs/>
          <w:sz w:val="26"/>
          <w:szCs w:val="26"/>
          <w:highlight w:val="white"/>
        </w:rPr>
        <w:t xml:space="preserve">____ </w:t>
      </w:r>
      <w:r>
        <w:rPr>
          <w:rStyle w:val="1206"/>
          <w:sz w:val="26"/>
          <w:szCs w:val="26"/>
          <w:highlight w:val="white"/>
        </w:rPr>
        <w:t xml:space="preserve">года № </w:t>
      </w:r>
      <w:r>
        <w:rPr>
          <w:rStyle w:val="1206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206"/>
          <w:i/>
          <w:iCs/>
          <w:sz w:val="26"/>
          <w:szCs w:val="26"/>
          <w:highlight w:val="white"/>
          <w:vertAlign w:val="superscript"/>
        </w:rPr>
        <w:footnoteReference w:id="5"/>
      </w:r>
      <w:r>
        <w:rPr>
          <w:rStyle w:val="1206"/>
          <w:i/>
          <w:iCs/>
          <w:sz w:val="26"/>
          <w:szCs w:val="26"/>
          <w:highlight w:val="white"/>
        </w:rPr>
        <w:t xml:space="preserve"> ),</w:t>
      </w:r>
      <w:r>
        <w:rPr>
          <w:rStyle w:val="1206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206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206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06"/>
          <w:i/>
          <w:iCs/>
          <w:sz w:val="26"/>
          <w:szCs w:val="26"/>
          <w:highlight w:val="white"/>
        </w:rPr>
        <w:t xml:space="preserve">И.</w:t>
      </w:r>
      <w:r>
        <w:rPr>
          <w:rStyle w:val="1206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06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206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206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206"/>
          <w:sz w:val="26"/>
          <w:szCs w:val="26"/>
          <w:highlight w:val="white"/>
        </w:rPr>
        <w:t xml:space="preserve">)</w:t>
      </w:r>
      <w:r>
        <w:rPr>
          <w:rStyle w:val="1206"/>
          <w:i/>
          <w:iCs/>
          <w:sz w:val="26"/>
          <w:szCs w:val="26"/>
          <w:highlight w:val="white"/>
        </w:rPr>
        <w:t xml:space="preserve">, </w:t>
      </w:r>
      <w:r>
        <w:rPr>
          <w:rStyle w:val="1206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206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206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206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206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206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206"/>
          <w:sz w:val="26"/>
          <w:szCs w:val="26"/>
          <w:highlight w:val="white"/>
        </w:rPr>
        <w:t xml:space="preserve"> </w:t>
      </w:r>
      <w:r>
        <w:rPr>
          <w:rStyle w:val="1206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206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206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206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206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06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06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207"/>
          <w:highlight w:val="white"/>
        </w:rPr>
        <w:t xml:space="preserve"> «</w:t>
      </w:r>
      <w:r>
        <w:rPr>
          <w:rStyle w:val="1206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06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206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06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Ответственность Гаранта за неисполнение требования по настоящей </w:t>
      </w:r>
      <w:r>
        <w:rPr>
          <w:rStyle w:val="1206"/>
          <w:sz w:val="26"/>
          <w:szCs w:val="26"/>
          <w:highlight w:val="white"/>
        </w:rPr>
        <w:t xml:space="preserve">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206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206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206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206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206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206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206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206"/>
          <w:i/>
          <w:iCs/>
          <w:sz w:val="26"/>
          <w:szCs w:val="26"/>
          <w:highlight w:val="white"/>
        </w:rPr>
        <w:t xml:space="preserve">(указывается арбитражный суд по месту нахождения бенефициара)</w:t>
      </w:r>
      <w:r>
        <w:rPr>
          <w:rStyle w:val="1206"/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06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206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highlight w:val="white"/>
        </w:rPr>
        <w:outlineLvl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4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54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4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ourier">
    <w:panose1 w:val="02060409020205020404"/>
  </w:font>
  <w:font w:name="MS Mincho">
    <w:panose1 w:val="0202060904020508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rPr>
        <w:rStyle w:val="1020"/>
      </w:rPr>
      <w:framePr w:wrap="auto" w:vAnchor="text" w:hAnchor="margin" w:xAlign="right" w:y="1"/>
    </w:pPr>
    <w:r>
      <w:rPr>
        <w:rStyle w:val="1020"/>
      </w:rPr>
      <w:fldChar w:fldCharType="begin"/>
    </w:r>
    <w:r>
      <w:rPr>
        <w:rStyle w:val="1020"/>
      </w:rPr>
      <w:instrText xml:space="preserve">PAGE  </w:instrText>
    </w:r>
    <w:r>
      <w:rPr>
        <w:rStyle w:val="1020"/>
      </w:rPr>
      <w:fldChar w:fldCharType="separate"/>
    </w:r>
    <w:r>
      <w:rPr>
        <w:rStyle w:val="1020"/>
      </w:rPr>
      <w:t xml:space="preserve">51</w:t>
    </w:r>
    <w:r>
      <w:rPr>
        <w:rStyle w:val="1020"/>
      </w:rPr>
      <w:fldChar w:fldCharType="end"/>
    </w:r>
    <w:r>
      <w:rPr>
        <w:rStyle w:val="1020"/>
      </w:rPr>
    </w:r>
    <w:r>
      <w:rPr>
        <w:rStyle w:val="1020"/>
      </w:rPr>
    </w:r>
  </w:p>
  <w:p>
    <w:pPr>
      <w:pStyle w:val="864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45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997"/>
          <w:sz w:val="20"/>
          <w:szCs w:val="20"/>
        </w:rPr>
        <w:footnoteRef/>
      </w:r>
      <w:r>
        <w:rPr>
          <w:rStyle w:val="997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997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995"/>
      </w:pPr>
      <w:r>
        <w:rPr>
          <w:rStyle w:val="1206"/>
          <w:i/>
          <w:iCs/>
          <w:sz w:val="26"/>
          <w:szCs w:val="26"/>
          <w:vertAlign w:val="superscript"/>
        </w:rPr>
        <w:t xml:space="preserve">4</w:t>
      </w:r>
      <w:r>
        <w:rPr>
          <w:rStyle w:val="1207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08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66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thaiNumbers"/>
      <w:pStyle w:val="1202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1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43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44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1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1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1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18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17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077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0">
    <w:multiLevelType w:val="hybridMultilevel"/>
    <w:lvl w:ilvl="0">
      <w:start w:val="1"/>
      <w:numFmt w:val="decimal"/>
      <w:pStyle w:val="107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31"/>
  </w:num>
  <w:num w:numId="5">
    <w:abstractNumId w:val="23"/>
  </w:num>
  <w:num w:numId="6">
    <w:abstractNumId w:val="42"/>
  </w:num>
  <w:num w:numId="7">
    <w:abstractNumId w:val="20"/>
  </w:num>
  <w:num w:numId="8">
    <w:abstractNumId w:val="14"/>
  </w:num>
  <w:num w:numId="9">
    <w:abstractNumId w:val="38"/>
  </w:num>
  <w:num w:numId="10">
    <w:abstractNumId w:val="3"/>
  </w:num>
  <w:num w:numId="11">
    <w:abstractNumId w:val="15"/>
  </w:num>
  <w:num w:numId="12">
    <w:abstractNumId w:val="5"/>
  </w:num>
  <w:num w:numId="13">
    <w:abstractNumId w:val="35"/>
  </w:num>
  <w:num w:numId="14">
    <w:abstractNumId w:val="28"/>
  </w:num>
  <w:num w:numId="15">
    <w:abstractNumId w:val="40"/>
  </w:num>
  <w:num w:numId="16">
    <w:abstractNumId w:val="2"/>
  </w:num>
  <w:num w:numId="17">
    <w:abstractNumId w:val="26"/>
  </w:num>
  <w:num w:numId="18">
    <w:abstractNumId w:val="11"/>
  </w:num>
  <w:num w:numId="19">
    <w:abstractNumId w:val="33"/>
  </w:num>
  <w:num w:numId="20">
    <w:abstractNumId w:val="1"/>
  </w:num>
  <w:num w:numId="21">
    <w:abstractNumId w:val="24"/>
  </w:num>
  <w:num w:numId="22">
    <w:abstractNumId w:val="0"/>
  </w:num>
  <w:num w:numId="23">
    <w:abstractNumId w:val="21"/>
  </w:num>
  <w:num w:numId="24">
    <w:abstractNumId w:val="39"/>
  </w:num>
  <w:num w:numId="25">
    <w:abstractNumId w:val="32"/>
  </w:num>
  <w:num w:numId="26">
    <w:abstractNumId w:val="22"/>
  </w:num>
  <w:num w:numId="27">
    <w:abstractNumId w:val="7"/>
  </w:num>
  <w:num w:numId="28">
    <w:abstractNumId w:val="34"/>
  </w:num>
  <w:num w:numId="29">
    <w:abstractNumId w:val="37"/>
  </w:num>
  <w:num w:numId="30">
    <w:abstractNumId w:val="10"/>
  </w:num>
  <w:num w:numId="31">
    <w:abstractNumId w:val="36"/>
  </w:num>
  <w:num w:numId="32">
    <w:abstractNumId w:val="43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19"/>
  </w:num>
  <w:num w:numId="36">
    <w:abstractNumId w:val="30"/>
  </w:num>
  <w:num w:numId="37">
    <w:abstractNumId w:val="41"/>
  </w:num>
  <w:num w:numId="38">
    <w:abstractNumId w:val="4"/>
  </w:num>
  <w:num w:numId="39">
    <w:abstractNumId w:val="8"/>
  </w:num>
  <w:num w:numId="40">
    <w:abstractNumId w:val="12"/>
  </w:num>
  <w:num w:numId="41">
    <w:abstractNumId w:val="27"/>
  </w:num>
  <w:num w:numId="42">
    <w:abstractNumId w:val="17"/>
  </w:num>
  <w:num w:numId="43">
    <w:abstractNumId w:val="9"/>
  </w:num>
  <w:num w:numId="44">
    <w:abstractNumId w:val="6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6">
    <w:name w:val="Heading 1 Char"/>
    <w:basedOn w:val="840"/>
    <w:link w:val="831"/>
    <w:uiPriority w:val="9"/>
    <w:rPr>
      <w:rFonts w:ascii="Arial" w:hAnsi="Arial" w:eastAsia="Arial" w:cs="Arial"/>
      <w:sz w:val="40"/>
      <w:szCs w:val="40"/>
    </w:rPr>
  </w:style>
  <w:style w:type="character" w:styleId="827">
    <w:name w:val="Heading 2 Char"/>
    <w:basedOn w:val="840"/>
    <w:link w:val="832"/>
    <w:uiPriority w:val="9"/>
    <w:rPr>
      <w:rFonts w:ascii="Arial" w:hAnsi="Arial" w:eastAsia="Arial" w:cs="Arial"/>
      <w:sz w:val="34"/>
    </w:rPr>
  </w:style>
  <w:style w:type="character" w:styleId="828">
    <w:name w:val="Quote Char"/>
    <w:link w:val="858"/>
    <w:uiPriority w:val="29"/>
    <w:rPr>
      <w:i/>
    </w:rPr>
  </w:style>
  <w:style w:type="character" w:styleId="829">
    <w:name w:val="Intense Quote Char"/>
    <w:link w:val="860"/>
    <w:uiPriority w:val="30"/>
    <w:rPr>
      <w:i/>
    </w:rPr>
  </w:style>
  <w:style w:type="paragraph" w:styleId="830" w:default="1">
    <w:name w:val="Normal"/>
    <w:qFormat/>
    <w:rPr>
      <w:sz w:val="24"/>
      <w:szCs w:val="24"/>
    </w:rPr>
  </w:style>
  <w:style w:type="paragraph" w:styleId="831">
    <w:name w:val="Heading 1"/>
    <w:basedOn w:val="830"/>
    <w:next w:val="830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2">
    <w:name w:val="Heading 2"/>
    <w:basedOn w:val="830"/>
    <w:next w:val="830"/>
    <w:link w:val="84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3">
    <w:name w:val="Heading 3"/>
    <w:basedOn w:val="830"/>
    <w:next w:val="830"/>
    <w:link w:val="1064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834">
    <w:name w:val="Heading 4"/>
    <w:basedOn w:val="830"/>
    <w:next w:val="830"/>
    <w:link w:val="1049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35">
    <w:name w:val="Heading 5"/>
    <w:basedOn w:val="830"/>
    <w:next w:val="830"/>
    <w:link w:val="1058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36">
    <w:name w:val="Heading 6"/>
    <w:basedOn w:val="830"/>
    <w:next w:val="830"/>
    <w:link w:val="1059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837">
    <w:name w:val="Heading 7"/>
    <w:basedOn w:val="830"/>
    <w:next w:val="830"/>
    <w:link w:val="1060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838">
    <w:name w:val="Heading 8"/>
    <w:basedOn w:val="830"/>
    <w:next w:val="830"/>
    <w:link w:val="1061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839">
    <w:name w:val="Heading 9"/>
    <w:basedOn w:val="830"/>
    <w:next w:val="830"/>
    <w:link w:val="1062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1 Знак"/>
    <w:link w:val="831"/>
    <w:uiPriority w:val="9"/>
    <w:rPr>
      <w:rFonts w:ascii="Arial" w:hAnsi="Arial" w:eastAsia="Arial" w:cs="Arial"/>
      <w:sz w:val="40"/>
      <w:szCs w:val="40"/>
    </w:rPr>
  </w:style>
  <w:style w:type="character" w:styleId="844" w:customStyle="1">
    <w:name w:val="Заголовок 2 Знак"/>
    <w:link w:val="832"/>
    <w:uiPriority w:val="9"/>
    <w:rPr>
      <w:rFonts w:ascii="Arial" w:hAnsi="Arial" w:eastAsia="Arial" w:cs="Arial"/>
      <w:sz w:val="34"/>
    </w:rPr>
  </w:style>
  <w:style w:type="character" w:styleId="84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4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4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4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4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5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52">
    <w:name w:val="List Paragraph"/>
    <w:basedOn w:val="830"/>
    <w:uiPriority w:val="34"/>
    <w:qFormat/>
    <w:pPr>
      <w:contextualSpacing/>
      <w:ind w:left="720"/>
    </w:pPr>
  </w:style>
  <w:style w:type="paragraph" w:styleId="853">
    <w:name w:val="No Spacing"/>
    <w:uiPriority w:val="1"/>
    <w:qFormat/>
    <w:rPr>
      <w:sz w:val="24"/>
      <w:szCs w:val="24"/>
    </w:rPr>
  </w:style>
  <w:style w:type="paragraph" w:styleId="854">
    <w:name w:val="Title"/>
    <w:basedOn w:val="830"/>
    <w:next w:val="830"/>
    <w:link w:val="1048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855" w:customStyle="1">
    <w:name w:val="Title Char"/>
    <w:uiPriority w:val="10"/>
    <w:rPr>
      <w:sz w:val="48"/>
      <w:szCs w:val="48"/>
    </w:rPr>
  </w:style>
  <w:style w:type="paragraph" w:styleId="856">
    <w:name w:val="Subtitle"/>
    <w:basedOn w:val="830"/>
    <w:link w:val="1083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57" w:customStyle="1">
    <w:name w:val="Subtitle Char"/>
    <w:uiPriority w:val="11"/>
    <w:rPr>
      <w:sz w:val="24"/>
      <w:szCs w:val="24"/>
    </w:rPr>
  </w:style>
  <w:style w:type="paragraph" w:styleId="858">
    <w:name w:val="Quote"/>
    <w:basedOn w:val="830"/>
    <w:next w:val="830"/>
    <w:link w:val="859"/>
    <w:uiPriority w:val="29"/>
    <w:qFormat/>
    <w:pPr>
      <w:ind w:left="720" w:right="720"/>
    </w:pPr>
    <w:rPr>
      <w:i/>
    </w:rPr>
  </w:style>
  <w:style w:type="character" w:styleId="859" w:customStyle="1">
    <w:name w:val="Цитата 2 Знак"/>
    <w:link w:val="858"/>
    <w:uiPriority w:val="29"/>
    <w:rPr>
      <w:i/>
    </w:rPr>
  </w:style>
  <w:style w:type="paragraph" w:styleId="860">
    <w:name w:val="Intense Quote"/>
    <w:basedOn w:val="830"/>
    <w:next w:val="830"/>
    <w:link w:val="8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1" w:customStyle="1">
    <w:name w:val="Выделенная цитата Знак"/>
    <w:link w:val="860"/>
    <w:uiPriority w:val="30"/>
    <w:rPr>
      <w:i/>
    </w:rPr>
  </w:style>
  <w:style w:type="paragraph" w:styleId="862">
    <w:name w:val="Header"/>
    <w:basedOn w:val="830"/>
    <w:link w:val="109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63" w:customStyle="1">
    <w:name w:val="Header Char"/>
    <w:uiPriority w:val="99"/>
  </w:style>
  <w:style w:type="paragraph" w:styleId="864">
    <w:name w:val="Footer"/>
    <w:basedOn w:val="830"/>
    <w:link w:val="109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65" w:customStyle="1">
    <w:name w:val="Footer Char"/>
    <w:uiPriority w:val="99"/>
  </w:style>
  <w:style w:type="paragraph" w:styleId="866">
    <w:name w:val="Caption"/>
    <w:basedOn w:val="830"/>
    <w:next w:val="830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867" w:customStyle="1">
    <w:name w:val="Caption Char"/>
    <w:uiPriority w:val="99"/>
  </w:style>
  <w:style w:type="table" w:styleId="868">
    <w:name w:val="Table Grid"/>
    <w:basedOn w:val="841"/>
    <w:uiPriority w:val="59"/>
    <w:tblPr/>
  </w:style>
  <w:style w:type="table" w:styleId="86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0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1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5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94">
    <w:name w:val="Hyperlink"/>
    <w:uiPriority w:val="99"/>
    <w:rPr>
      <w:color w:val="336699"/>
      <w:u w:val="none"/>
    </w:rPr>
  </w:style>
  <w:style w:type="paragraph" w:styleId="995">
    <w:name w:val="footnote text"/>
    <w:basedOn w:val="830"/>
    <w:link w:val="1050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996" w:customStyle="1">
    <w:name w:val="Footnote Text Char"/>
    <w:uiPriority w:val="99"/>
    <w:rPr>
      <w:sz w:val="18"/>
    </w:rPr>
  </w:style>
  <w:style w:type="character" w:styleId="997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98">
    <w:name w:val="endnote text"/>
    <w:basedOn w:val="830"/>
    <w:link w:val="1179"/>
    <w:uiPriority w:val="99"/>
    <w:pPr>
      <w:jc w:val="both"/>
      <w:spacing w:after="60"/>
    </w:pPr>
    <w:rPr>
      <w:sz w:val="20"/>
      <w:szCs w:val="20"/>
    </w:rPr>
  </w:style>
  <w:style w:type="character" w:styleId="999" w:customStyle="1">
    <w:name w:val="Endnote Text Char"/>
    <w:uiPriority w:val="99"/>
    <w:rPr>
      <w:sz w:val="20"/>
    </w:rPr>
  </w:style>
  <w:style w:type="character" w:styleId="1000">
    <w:name w:val="endnote reference"/>
    <w:uiPriority w:val="99"/>
    <w:rPr>
      <w:vertAlign w:val="superscript"/>
    </w:rPr>
  </w:style>
  <w:style w:type="paragraph" w:styleId="1001">
    <w:name w:val="toc 1"/>
    <w:basedOn w:val="830"/>
    <w:next w:val="830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02">
    <w:name w:val="toc 2"/>
    <w:basedOn w:val="830"/>
    <w:next w:val="830"/>
    <w:uiPriority w:val="39"/>
    <w:pPr>
      <w:ind w:left="240"/>
    </w:pPr>
    <w:rPr>
      <w:smallCaps/>
      <w:sz w:val="20"/>
      <w:szCs w:val="20"/>
    </w:rPr>
  </w:style>
  <w:style w:type="paragraph" w:styleId="1003">
    <w:name w:val="toc 3"/>
    <w:basedOn w:val="830"/>
    <w:next w:val="830"/>
    <w:uiPriority w:val="39"/>
    <w:pPr>
      <w:ind w:left="480"/>
    </w:pPr>
    <w:rPr>
      <w:i/>
      <w:iCs/>
      <w:sz w:val="20"/>
      <w:szCs w:val="20"/>
    </w:rPr>
  </w:style>
  <w:style w:type="paragraph" w:styleId="1004">
    <w:name w:val="toc 4"/>
    <w:basedOn w:val="830"/>
    <w:next w:val="830"/>
    <w:uiPriority w:val="39"/>
    <w:pPr>
      <w:ind w:left="720"/>
    </w:pPr>
    <w:rPr>
      <w:sz w:val="18"/>
      <w:szCs w:val="18"/>
    </w:rPr>
  </w:style>
  <w:style w:type="paragraph" w:styleId="1005">
    <w:name w:val="toc 5"/>
    <w:basedOn w:val="830"/>
    <w:next w:val="830"/>
    <w:uiPriority w:val="39"/>
    <w:pPr>
      <w:ind w:left="960"/>
    </w:pPr>
    <w:rPr>
      <w:sz w:val="18"/>
      <w:szCs w:val="18"/>
    </w:rPr>
  </w:style>
  <w:style w:type="paragraph" w:styleId="1006">
    <w:name w:val="toc 6"/>
    <w:basedOn w:val="830"/>
    <w:next w:val="830"/>
    <w:uiPriority w:val="39"/>
    <w:pPr>
      <w:ind w:left="1200"/>
    </w:pPr>
    <w:rPr>
      <w:sz w:val="18"/>
      <w:szCs w:val="18"/>
    </w:rPr>
  </w:style>
  <w:style w:type="paragraph" w:styleId="1007">
    <w:name w:val="toc 7"/>
    <w:basedOn w:val="830"/>
    <w:next w:val="830"/>
    <w:uiPriority w:val="39"/>
    <w:pPr>
      <w:ind w:left="1440"/>
    </w:pPr>
    <w:rPr>
      <w:sz w:val="18"/>
      <w:szCs w:val="18"/>
    </w:rPr>
  </w:style>
  <w:style w:type="paragraph" w:styleId="1008">
    <w:name w:val="toc 8"/>
    <w:basedOn w:val="830"/>
    <w:next w:val="830"/>
    <w:uiPriority w:val="39"/>
    <w:pPr>
      <w:ind w:left="1680"/>
    </w:pPr>
    <w:rPr>
      <w:sz w:val="18"/>
      <w:szCs w:val="18"/>
    </w:rPr>
  </w:style>
  <w:style w:type="paragraph" w:styleId="1009">
    <w:name w:val="toc 9"/>
    <w:basedOn w:val="830"/>
    <w:next w:val="830"/>
    <w:uiPriority w:val="39"/>
    <w:pPr>
      <w:ind w:left="1920"/>
    </w:pPr>
    <w:rPr>
      <w:sz w:val="18"/>
      <w:szCs w:val="18"/>
    </w:rPr>
  </w:style>
  <w:style w:type="paragraph" w:styleId="1010">
    <w:name w:val="TOC Heading"/>
    <w:uiPriority w:val="39"/>
    <w:unhideWhenUsed/>
    <w:rPr>
      <w:lang w:eastAsia="zh-CN"/>
    </w:rPr>
  </w:style>
  <w:style w:type="paragraph" w:styleId="1011">
    <w:name w:val="table of figures"/>
    <w:basedOn w:val="830"/>
    <w:next w:val="830"/>
    <w:uiPriority w:val="99"/>
    <w:unhideWhenUsed/>
  </w:style>
  <w:style w:type="paragraph" w:styleId="1012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830"/>
    <w:next w:val="830"/>
    <w:link w:val="106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013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830"/>
    <w:next w:val="830"/>
    <w:link w:val="1056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014" w:customStyle="1">
    <w:name w:val="Основной шрифт абзаца;Знак2"/>
    <w:link w:val="1039"/>
    <w:semiHidden/>
  </w:style>
  <w:style w:type="character" w:styleId="1015">
    <w:name w:val="FollowedHyperlink"/>
    <w:uiPriority w:val="99"/>
    <w:rPr>
      <w:color w:val="800080"/>
      <w:u w:val="single"/>
    </w:rPr>
  </w:style>
  <w:style w:type="paragraph" w:styleId="1016" w:customStyle="1">
    <w:name w:val="Пункт"/>
    <w:basedOn w:val="830"/>
    <w:link w:val="1190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017" w:customStyle="1">
    <w:name w:val="Подпункт"/>
    <w:basedOn w:val="1016"/>
    <w:pPr>
      <w:numPr>
        <w:ilvl w:val="3"/>
      </w:numPr>
    </w:pPr>
  </w:style>
  <w:style w:type="paragraph" w:styleId="1018" w:customStyle="1">
    <w:name w:val="Подподпункт"/>
    <w:basedOn w:val="1017"/>
    <w:pPr>
      <w:numPr>
        <w:ilvl w:val="4"/>
      </w:numPr>
    </w:pPr>
  </w:style>
  <w:style w:type="character" w:styleId="1019" w:customStyle="1">
    <w:name w:val="Основной текст Знак"/>
    <w:link w:val="1089"/>
    <w:uiPriority w:val="99"/>
    <w:rPr>
      <w:sz w:val="28"/>
      <w:szCs w:val="28"/>
      <w:lang w:val="ru-RU" w:eastAsia="ru-RU"/>
    </w:rPr>
  </w:style>
  <w:style w:type="character" w:styleId="1020">
    <w:name w:val="page number"/>
    <w:basedOn w:val="1014"/>
    <w:uiPriority w:val="99"/>
  </w:style>
  <w:style w:type="paragraph" w:styleId="1021" w:customStyle="1">
    <w:name w:val="3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2" w:customStyle="1">
    <w:name w:val="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3" w:customStyle="1">
    <w:name w:val="Знак1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4" w:customStyle="1">
    <w:name w:val="Знак Знак Знак Знак 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5" w:customStyle="1">
    <w:name w:val="Знак Знак Знак1 Знак 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6" w:customStyle="1">
    <w:name w:val="Знак Знак Знак Знак Знак 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7">
    <w:name w:val="List Number"/>
    <w:basedOn w:val="830"/>
    <w:uiPriority w:val="99"/>
    <w:pPr>
      <w:jc w:val="both"/>
      <w:spacing w:before="60" w:line="360" w:lineRule="auto"/>
    </w:pPr>
    <w:rPr>
      <w:sz w:val="28"/>
    </w:rPr>
  </w:style>
  <w:style w:type="paragraph" w:styleId="1028" w:customStyle="1">
    <w:name w:val="Стиль1 Знак"/>
    <w:basedOn w:val="1017"/>
    <w:link w:val="1029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029" w:customStyle="1">
    <w:name w:val="Стиль1 Знак Знак"/>
    <w:link w:val="1028"/>
    <w:rPr>
      <w:sz w:val="28"/>
      <w:szCs w:val="28"/>
      <w:lang w:val="ru-RU" w:eastAsia="ru-RU" w:bidi="ar-SA"/>
    </w:rPr>
  </w:style>
  <w:style w:type="paragraph" w:styleId="1030" w:customStyle="1">
    <w:name w:val="Стиль1"/>
    <w:basedOn w:val="1017"/>
    <w:pPr>
      <w:numPr>
        <w:ilvl w:val="0"/>
        <w:numId w:val="0"/>
      </w:numPr>
      <w:spacing w:line="240" w:lineRule="auto"/>
    </w:pPr>
    <w:rPr>
      <w:szCs w:val="28"/>
    </w:rPr>
  </w:style>
  <w:style w:type="character" w:styleId="1031" w:customStyle="1">
    <w:name w:val="заменить"/>
    <w:rPr>
      <w:i/>
      <w:u w:val="none"/>
      <w:shd w:val="clear" w:color="auto" w:fill="ffcc99"/>
    </w:rPr>
  </w:style>
  <w:style w:type="paragraph" w:styleId="1032" w:customStyle="1">
    <w:name w:val="Служебный"/>
    <w:basedOn w:val="830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3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4">
    <w:name w:val="Document Map"/>
    <w:basedOn w:val="830"/>
    <w:link w:val="1171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035">
    <w:name w:val="Normal (Web)"/>
    <w:basedOn w:val="830"/>
    <w:uiPriority w:val="99"/>
    <w:pPr>
      <w:spacing w:before="100" w:beforeAutospacing="1" w:after="100" w:afterAutospacing="1"/>
    </w:pPr>
  </w:style>
  <w:style w:type="character" w:styleId="1036">
    <w:name w:val="Emphasis"/>
    <w:uiPriority w:val="99"/>
    <w:qFormat/>
    <w:rPr>
      <w:i/>
      <w:iCs/>
    </w:rPr>
  </w:style>
  <w:style w:type="paragraph" w:styleId="1037">
    <w:name w:val="Balloon Text"/>
    <w:basedOn w:val="830"/>
    <w:link w:val="1165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038" w:customStyle="1">
    <w:name w:val="1 Знак"/>
    <w:basedOn w:val="8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9" w:customStyle="1">
    <w:name w:val="Знак"/>
    <w:basedOn w:val="830"/>
    <w:link w:val="101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0" w:customStyle="1">
    <w:name w:val="1"/>
    <w:basedOn w:val="830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1" w:customStyle="1">
    <w:name w:val="Заголовок_1"/>
    <w:basedOn w:val="830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42" w:customStyle="1">
    <w:name w:val="Пункт_3"/>
    <w:basedOn w:val="830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043" w:customStyle="1">
    <w:name w:val="Пункт_2"/>
    <w:basedOn w:val="830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044" w:customStyle="1">
    <w:name w:val="Пункт_5"/>
    <w:basedOn w:val="1042"/>
    <w:uiPriority w:val="99"/>
    <w:pPr>
      <w:numPr>
        <w:ilvl w:val="4"/>
      </w:numPr>
    </w:pPr>
  </w:style>
  <w:style w:type="paragraph" w:styleId="1045" w:customStyle="1">
    <w:name w:val="Default"/>
    <w:rPr>
      <w:color w:val="000000"/>
      <w:sz w:val="24"/>
      <w:szCs w:val="24"/>
    </w:rPr>
  </w:style>
  <w:style w:type="character" w:styleId="1046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047"/>
    <w:uiPriority w:val="34"/>
    <w:qFormat/>
    <w:rPr>
      <w:sz w:val="24"/>
      <w:szCs w:val="24"/>
    </w:rPr>
  </w:style>
  <w:style w:type="paragraph" w:styleId="1047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830"/>
    <w:link w:val="1046"/>
    <w:uiPriority w:val="34"/>
    <w:qFormat/>
    <w:pPr>
      <w:ind w:left="720"/>
    </w:pPr>
    <w:rPr>
      <w:lang w:val="en-US" w:eastAsia="en-US"/>
    </w:rPr>
  </w:style>
  <w:style w:type="character" w:styleId="1048" w:customStyle="1">
    <w:name w:val="Заголовок Знак"/>
    <w:link w:val="854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49" w:customStyle="1">
    <w:name w:val="Заголовок 4 Знак"/>
    <w:link w:val="834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050" w:customStyle="1">
    <w:name w:val="Текст сноски Знак"/>
    <w:link w:val="995"/>
    <w:uiPriority w:val="99"/>
    <w:rPr>
      <w:sz w:val="22"/>
    </w:rPr>
  </w:style>
  <w:style w:type="character" w:styleId="1051">
    <w:name w:val="annotation reference"/>
    <w:uiPriority w:val="99"/>
    <w:rPr>
      <w:sz w:val="16"/>
      <w:szCs w:val="16"/>
    </w:rPr>
  </w:style>
  <w:style w:type="paragraph" w:styleId="1052">
    <w:name w:val="annotation text"/>
    <w:basedOn w:val="830"/>
    <w:link w:val="1053"/>
    <w:uiPriority w:val="99"/>
    <w:rPr>
      <w:sz w:val="20"/>
      <w:szCs w:val="20"/>
    </w:rPr>
  </w:style>
  <w:style w:type="character" w:styleId="1053" w:customStyle="1">
    <w:name w:val="Текст примечания Знак"/>
    <w:basedOn w:val="1014"/>
    <w:link w:val="1052"/>
    <w:uiPriority w:val="99"/>
  </w:style>
  <w:style w:type="paragraph" w:styleId="1054">
    <w:name w:val="annotation subject"/>
    <w:basedOn w:val="1052"/>
    <w:next w:val="1052"/>
    <w:link w:val="1055"/>
    <w:uiPriority w:val="99"/>
    <w:rPr>
      <w:b/>
      <w:bCs/>
      <w:lang w:val="en-US" w:eastAsia="en-US"/>
    </w:rPr>
  </w:style>
  <w:style w:type="character" w:styleId="1055" w:customStyle="1">
    <w:name w:val="Тема примечания Знак"/>
    <w:link w:val="1054"/>
    <w:uiPriority w:val="99"/>
    <w:rPr>
      <w:b/>
      <w:bCs/>
    </w:rPr>
  </w:style>
  <w:style w:type="character" w:styleId="1056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013"/>
    <w:uiPriority w:val="99"/>
    <w:rPr>
      <w:b/>
      <w:sz w:val="32"/>
    </w:rPr>
  </w:style>
  <w:style w:type="paragraph" w:styleId="1057" w:customStyle="1">
    <w:name w:val="буквы"/>
    <w:basedOn w:val="830"/>
    <w:uiPriority w:val="99"/>
    <w:pPr>
      <w:numPr>
        <w:ilvl w:val="0"/>
        <w:numId w:val="12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058" w:customStyle="1">
    <w:name w:val="Заголовок 5 Знак"/>
    <w:link w:val="83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59" w:customStyle="1">
    <w:name w:val="Заголовок 6 Знак"/>
    <w:link w:val="836"/>
    <w:uiPriority w:val="99"/>
    <w:rPr>
      <w:i/>
      <w:iCs/>
    </w:rPr>
  </w:style>
  <w:style w:type="character" w:styleId="1060" w:customStyle="1">
    <w:name w:val="Заголовок 7 Знак"/>
    <w:link w:val="837"/>
    <w:uiPriority w:val="99"/>
    <w:rPr>
      <w:rFonts w:ascii="Arial" w:hAnsi="Arial" w:cs="Arial"/>
    </w:rPr>
  </w:style>
  <w:style w:type="character" w:styleId="1061" w:customStyle="1">
    <w:name w:val="Заголовок 8 Знак"/>
    <w:link w:val="838"/>
    <w:uiPriority w:val="99"/>
    <w:rPr>
      <w:rFonts w:ascii="Arial" w:hAnsi="Arial" w:cs="Arial"/>
      <w:i/>
      <w:iCs/>
    </w:rPr>
  </w:style>
  <w:style w:type="character" w:styleId="1062" w:customStyle="1">
    <w:name w:val="Заголовок 9 Знак"/>
    <w:link w:val="839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063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012"/>
    <w:rPr>
      <w:rFonts w:ascii="Arial" w:hAnsi="Arial"/>
      <w:b/>
      <w:sz w:val="40"/>
      <w:lang w:val="en-US" w:eastAsia="en-US"/>
    </w:rPr>
  </w:style>
  <w:style w:type="character" w:styleId="1064" w:customStyle="1">
    <w:name w:val="Заголовок 3 Знак"/>
    <w:link w:val="833"/>
    <w:uiPriority w:val="99"/>
    <w:rPr>
      <w:rFonts w:ascii="Arial" w:hAnsi="Arial" w:cs="Arial"/>
      <w:b/>
      <w:bCs/>
      <w:sz w:val="26"/>
      <w:szCs w:val="26"/>
    </w:rPr>
  </w:style>
  <w:style w:type="paragraph" w:styleId="1065" w:customStyle="1">
    <w:name w:val="Основной текст с отступом1"/>
    <w:basedOn w:val="830"/>
    <w:uiPriority w:val="99"/>
    <w:pPr>
      <w:ind w:firstLine="851"/>
      <w:jc w:val="both"/>
      <w:spacing w:before="60"/>
    </w:pPr>
  </w:style>
  <w:style w:type="paragraph" w:styleId="1066">
    <w:name w:val="Body Text Indent"/>
    <w:basedOn w:val="830"/>
    <w:link w:val="1067"/>
    <w:uiPriority w:val="99"/>
    <w:pPr>
      <w:numPr>
        <w:ilvl w:val="1"/>
        <w:numId w:val="16"/>
      </w:numPr>
      <w:jc w:val="both"/>
      <w:spacing w:after="60"/>
    </w:pPr>
    <w:rPr>
      <w:lang w:val="en-US" w:eastAsia="en-US"/>
    </w:rPr>
  </w:style>
  <w:style w:type="character" w:styleId="1067" w:customStyle="1">
    <w:name w:val="Основной текст с отступом Знак"/>
    <w:link w:val="1066"/>
    <w:uiPriority w:val="99"/>
    <w:rPr>
      <w:sz w:val="24"/>
      <w:szCs w:val="24"/>
      <w:lang w:val="en-US" w:eastAsia="en-US"/>
    </w:rPr>
  </w:style>
  <w:style w:type="paragraph" w:styleId="1068">
    <w:name w:val="List Bullet"/>
    <w:basedOn w:val="830"/>
    <w:uiPriority w:val="99"/>
    <w:pPr>
      <w:jc w:val="both"/>
      <w:spacing w:after="60"/>
      <w:widowControl w:val="off"/>
    </w:pPr>
  </w:style>
  <w:style w:type="paragraph" w:styleId="1069">
    <w:name w:val="List Bullet 2"/>
    <w:basedOn w:val="830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070">
    <w:name w:val="List Bullet 3"/>
    <w:basedOn w:val="830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071">
    <w:name w:val="List Bullet 4"/>
    <w:basedOn w:val="830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072">
    <w:name w:val="List Bullet 5"/>
    <w:basedOn w:val="830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073">
    <w:name w:val="List Number 2"/>
    <w:basedOn w:val="830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074">
    <w:name w:val="List Number 3"/>
    <w:basedOn w:val="830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075">
    <w:name w:val="List Number 4"/>
    <w:basedOn w:val="830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076">
    <w:name w:val="List Number 5"/>
    <w:basedOn w:val="830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077" w:customStyle="1">
    <w:name w:val="Раздел"/>
    <w:basedOn w:val="830"/>
    <w:uiPriority w:val="99"/>
    <w:semiHidden/>
    <w:pPr>
      <w:numPr>
        <w:ilvl w:val="1"/>
        <w:numId w:val="14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078" w:customStyle="1">
    <w:name w:val="Часть"/>
    <w:basedOn w:val="830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079" w:customStyle="1">
    <w:name w:val="Раздел 3"/>
    <w:basedOn w:val="830"/>
    <w:uiPriority w:val="99"/>
    <w:semiHidden/>
    <w:pPr>
      <w:numPr>
        <w:ilvl w:val="0"/>
        <w:numId w:val="15"/>
      </w:numPr>
      <w:jc w:val="center"/>
      <w:spacing w:before="120" w:after="120"/>
    </w:pPr>
    <w:rPr>
      <w:b/>
      <w:bCs/>
    </w:rPr>
  </w:style>
  <w:style w:type="paragraph" w:styleId="1080" w:customStyle="1">
    <w:name w:val="Условия контракта"/>
    <w:basedOn w:val="830"/>
    <w:uiPriority w:val="99"/>
    <w:semiHidden/>
    <w:pPr>
      <w:numPr>
        <w:ilvl w:val="0"/>
        <w:numId w:val="16"/>
      </w:numPr>
      <w:jc w:val="both"/>
      <w:spacing w:before="240" w:after="120"/>
    </w:pPr>
    <w:rPr>
      <w:b/>
      <w:bCs/>
    </w:rPr>
  </w:style>
  <w:style w:type="paragraph" w:styleId="1081" w:customStyle="1">
    <w:name w:val="Instruction"/>
    <w:basedOn w:val="1066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082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083" w:customStyle="1">
    <w:name w:val="Подзаголовок Знак"/>
    <w:link w:val="856"/>
    <w:uiPriority w:val="99"/>
    <w:rPr>
      <w:rFonts w:ascii="Cambria" w:hAnsi="Cambria" w:cs="Cambria"/>
      <w:sz w:val="24"/>
      <w:szCs w:val="24"/>
    </w:rPr>
  </w:style>
  <w:style w:type="paragraph" w:styleId="1084" w:customStyle="1">
    <w:name w:val="Тендерные данные"/>
    <w:basedOn w:val="830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085">
    <w:name w:val="Date"/>
    <w:basedOn w:val="830"/>
    <w:next w:val="830"/>
    <w:link w:val="1086"/>
    <w:uiPriority w:val="99"/>
    <w:pPr>
      <w:jc w:val="both"/>
      <w:spacing w:after="60"/>
    </w:pPr>
    <w:rPr>
      <w:lang w:val="en-US" w:eastAsia="en-US"/>
    </w:rPr>
  </w:style>
  <w:style w:type="character" w:styleId="1086" w:customStyle="1">
    <w:name w:val="Дата Знак"/>
    <w:link w:val="1085"/>
    <w:uiPriority w:val="99"/>
    <w:rPr>
      <w:sz w:val="24"/>
      <w:szCs w:val="24"/>
    </w:rPr>
  </w:style>
  <w:style w:type="paragraph" w:styleId="1087" w:customStyle="1">
    <w:name w:val="Îáû÷íûé"/>
    <w:uiPriority w:val="99"/>
    <w:semiHidden/>
  </w:style>
  <w:style w:type="paragraph" w:styleId="1088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89">
    <w:name w:val="Body Text"/>
    <w:basedOn w:val="830"/>
    <w:link w:val="1019"/>
    <w:uiPriority w:val="99"/>
    <w:pPr>
      <w:jc w:val="both"/>
      <w:spacing w:after="120"/>
    </w:pPr>
    <w:rPr>
      <w:sz w:val="28"/>
      <w:szCs w:val="28"/>
    </w:rPr>
  </w:style>
  <w:style w:type="character" w:styleId="1090" w:customStyle="1">
    <w:name w:val="Основной текст Знак1"/>
    <w:rPr>
      <w:sz w:val="24"/>
      <w:szCs w:val="24"/>
    </w:rPr>
  </w:style>
  <w:style w:type="paragraph" w:styleId="1091" w:customStyle="1">
    <w:name w:val="Подраздел"/>
    <w:basedOn w:val="83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92">
    <w:name w:val="Body Text Indent 2"/>
    <w:basedOn w:val="830"/>
    <w:link w:val="1093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093" w:customStyle="1">
    <w:name w:val="Основной текст с отступом 2 Знак"/>
    <w:link w:val="1092"/>
    <w:uiPriority w:val="99"/>
    <w:rPr>
      <w:sz w:val="24"/>
      <w:szCs w:val="24"/>
    </w:rPr>
  </w:style>
  <w:style w:type="paragraph" w:styleId="1094">
    <w:name w:val="Body Text Indent 3"/>
    <w:basedOn w:val="830"/>
    <w:link w:val="1095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095" w:customStyle="1">
    <w:name w:val="Основной текст с отступом 3 Знак"/>
    <w:link w:val="1094"/>
    <w:uiPriority w:val="99"/>
    <w:rPr>
      <w:sz w:val="16"/>
      <w:szCs w:val="16"/>
    </w:rPr>
  </w:style>
  <w:style w:type="character" w:styleId="1096" w:customStyle="1">
    <w:name w:val="Верхний колонтитул Знак"/>
    <w:link w:val="862"/>
    <w:uiPriority w:val="99"/>
    <w:rPr>
      <w:sz w:val="24"/>
      <w:szCs w:val="24"/>
    </w:rPr>
  </w:style>
  <w:style w:type="paragraph" w:styleId="1097">
    <w:name w:val="Block Text"/>
    <w:basedOn w:val="830"/>
    <w:uiPriority w:val="99"/>
    <w:pPr>
      <w:ind w:left="1440" w:right="1440"/>
      <w:jc w:val="both"/>
      <w:spacing w:after="120"/>
    </w:pPr>
  </w:style>
  <w:style w:type="character" w:styleId="1098" w:customStyle="1">
    <w:name w:val="Нижний колонтитул Знак"/>
    <w:link w:val="864"/>
    <w:uiPriority w:val="99"/>
    <w:rPr>
      <w:sz w:val="24"/>
      <w:szCs w:val="24"/>
    </w:rPr>
  </w:style>
  <w:style w:type="paragraph" w:styleId="1099">
    <w:name w:val="Body Text 3"/>
    <w:basedOn w:val="830"/>
    <w:link w:val="1100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00" w:customStyle="1">
    <w:name w:val="Основной текст 3 Знак"/>
    <w:link w:val="1099"/>
    <w:uiPriority w:val="99"/>
    <w:rPr>
      <w:sz w:val="16"/>
      <w:szCs w:val="16"/>
    </w:rPr>
  </w:style>
  <w:style w:type="paragraph" w:styleId="1101">
    <w:name w:val="Plain Text"/>
    <w:basedOn w:val="830"/>
    <w:link w:val="1102"/>
    <w:rPr>
      <w:rFonts w:ascii="Courier New" w:hAnsi="Courier New"/>
      <w:sz w:val="20"/>
      <w:szCs w:val="20"/>
      <w:lang w:val="en-US" w:eastAsia="en-US"/>
    </w:rPr>
  </w:style>
  <w:style w:type="character" w:styleId="1102" w:customStyle="1">
    <w:name w:val="Текст Знак"/>
    <w:link w:val="1101"/>
    <w:rPr>
      <w:rFonts w:ascii="Courier New" w:hAnsi="Courier New" w:cs="Courier New"/>
    </w:rPr>
  </w:style>
  <w:style w:type="paragraph" w:styleId="1103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04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0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06" w:customStyle="1">
    <w:name w:val="Основной шрифт"/>
    <w:uiPriority w:val="99"/>
    <w:semiHidden/>
  </w:style>
  <w:style w:type="paragraph" w:styleId="1107">
    <w:name w:val="HTML Address"/>
    <w:basedOn w:val="830"/>
    <w:link w:val="1108"/>
    <w:uiPriority w:val="99"/>
    <w:pPr>
      <w:jc w:val="both"/>
      <w:spacing w:after="60"/>
    </w:pPr>
    <w:rPr>
      <w:i/>
      <w:iCs/>
      <w:lang w:val="en-US" w:eastAsia="en-US"/>
    </w:rPr>
  </w:style>
  <w:style w:type="character" w:styleId="1108" w:customStyle="1">
    <w:name w:val="Адрес HTML Знак"/>
    <w:link w:val="1107"/>
    <w:uiPriority w:val="99"/>
    <w:rPr>
      <w:i/>
      <w:iCs/>
      <w:sz w:val="24"/>
      <w:szCs w:val="24"/>
    </w:rPr>
  </w:style>
  <w:style w:type="paragraph" w:styleId="1109">
    <w:name w:val="envelope address"/>
    <w:basedOn w:val="830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10">
    <w:name w:val="HTML Acronym"/>
    <w:uiPriority w:val="99"/>
  </w:style>
  <w:style w:type="paragraph" w:styleId="1111">
    <w:name w:val="Note Heading"/>
    <w:basedOn w:val="830"/>
    <w:next w:val="830"/>
    <w:link w:val="1112"/>
    <w:uiPriority w:val="99"/>
    <w:pPr>
      <w:jc w:val="both"/>
      <w:spacing w:after="60"/>
    </w:pPr>
    <w:rPr>
      <w:lang w:val="en-US" w:eastAsia="en-US"/>
    </w:rPr>
  </w:style>
  <w:style w:type="character" w:styleId="1112" w:customStyle="1">
    <w:name w:val="Заголовок записки Знак"/>
    <w:link w:val="1111"/>
    <w:uiPriority w:val="99"/>
    <w:rPr>
      <w:sz w:val="24"/>
      <w:szCs w:val="24"/>
    </w:rPr>
  </w:style>
  <w:style w:type="character" w:styleId="111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1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15">
    <w:name w:val="Body Text First Indent"/>
    <w:basedOn w:val="1089"/>
    <w:link w:val="1116"/>
    <w:uiPriority w:val="99"/>
    <w:pPr>
      <w:ind w:firstLine="210"/>
    </w:pPr>
    <w:rPr>
      <w:lang w:val="en-US" w:eastAsia="en-US"/>
    </w:rPr>
  </w:style>
  <w:style w:type="character" w:styleId="1116" w:customStyle="1">
    <w:name w:val="Красная строка Знак"/>
    <w:link w:val="1115"/>
    <w:uiPriority w:val="99"/>
    <w:rPr>
      <w:sz w:val="28"/>
      <w:szCs w:val="28"/>
    </w:rPr>
  </w:style>
  <w:style w:type="paragraph" w:styleId="1117">
    <w:name w:val="Body Text First Indent 2"/>
    <w:basedOn w:val="1065"/>
    <w:link w:val="1118"/>
    <w:uiPriority w:val="99"/>
    <w:pPr>
      <w:ind w:left="283" w:firstLine="210"/>
      <w:spacing w:before="0" w:after="120"/>
    </w:pPr>
  </w:style>
  <w:style w:type="character" w:styleId="1118" w:customStyle="1">
    <w:name w:val="Красная строка 2 Знак"/>
    <w:link w:val="1117"/>
    <w:uiPriority w:val="99"/>
    <w:rPr>
      <w:sz w:val="24"/>
      <w:szCs w:val="24"/>
      <w:lang w:val="en-US" w:eastAsia="en-US"/>
    </w:rPr>
  </w:style>
  <w:style w:type="character" w:styleId="1119">
    <w:name w:val="line number"/>
    <w:uiPriority w:val="99"/>
  </w:style>
  <w:style w:type="character" w:styleId="1120">
    <w:name w:val="HTML Sample"/>
    <w:uiPriority w:val="99"/>
    <w:rPr>
      <w:rFonts w:ascii="Courier New" w:hAnsi="Courier New" w:cs="Courier New"/>
    </w:rPr>
  </w:style>
  <w:style w:type="paragraph" w:styleId="1121">
    <w:name w:val="envelope return"/>
    <w:basedOn w:val="830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122">
    <w:name w:val="Normal Indent"/>
    <w:basedOn w:val="830"/>
    <w:uiPriority w:val="99"/>
    <w:pPr>
      <w:ind w:left="708"/>
      <w:jc w:val="both"/>
      <w:spacing w:after="60"/>
    </w:pPr>
  </w:style>
  <w:style w:type="character" w:styleId="1123">
    <w:name w:val="HTML Definition"/>
    <w:uiPriority w:val="99"/>
    <w:rPr>
      <w:i/>
      <w:iCs/>
    </w:rPr>
  </w:style>
  <w:style w:type="character" w:styleId="1124">
    <w:name w:val="HTML Variable"/>
    <w:uiPriority w:val="99"/>
    <w:rPr>
      <w:i/>
      <w:iCs/>
    </w:rPr>
  </w:style>
  <w:style w:type="character" w:styleId="112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26">
    <w:name w:val="Signature"/>
    <w:basedOn w:val="830"/>
    <w:link w:val="1127"/>
    <w:uiPriority w:val="99"/>
    <w:pPr>
      <w:ind w:left="4252"/>
      <w:jc w:val="both"/>
      <w:spacing w:after="60"/>
    </w:pPr>
    <w:rPr>
      <w:lang w:val="en-US" w:eastAsia="en-US"/>
    </w:rPr>
  </w:style>
  <w:style w:type="character" w:styleId="1127" w:customStyle="1">
    <w:name w:val="Подпись Знак"/>
    <w:link w:val="1126"/>
    <w:uiPriority w:val="99"/>
    <w:rPr>
      <w:sz w:val="24"/>
      <w:szCs w:val="24"/>
    </w:rPr>
  </w:style>
  <w:style w:type="paragraph" w:styleId="1128">
    <w:name w:val="Salutation"/>
    <w:basedOn w:val="830"/>
    <w:next w:val="830"/>
    <w:link w:val="1129"/>
    <w:uiPriority w:val="99"/>
    <w:pPr>
      <w:jc w:val="both"/>
      <w:spacing w:after="60"/>
    </w:pPr>
    <w:rPr>
      <w:lang w:val="en-US" w:eastAsia="en-US"/>
    </w:rPr>
  </w:style>
  <w:style w:type="character" w:styleId="1129" w:customStyle="1">
    <w:name w:val="Приветствие Знак"/>
    <w:link w:val="1128"/>
    <w:uiPriority w:val="99"/>
    <w:rPr>
      <w:sz w:val="24"/>
      <w:szCs w:val="24"/>
    </w:rPr>
  </w:style>
  <w:style w:type="paragraph" w:styleId="1130">
    <w:name w:val="List Continue"/>
    <w:basedOn w:val="830"/>
    <w:uiPriority w:val="99"/>
    <w:pPr>
      <w:ind w:left="283"/>
      <w:jc w:val="both"/>
      <w:spacing w:after="120"/>
    </w:pPr>
  </w:style>
  <w:style w:type="paragraph" w:styleId="1131">
    <w:name w:val="List Continue 2"/>
    <w:basedOn w:val="830"/>
    <w:uiPriority w:val="99"/>
    <w:pPr>
      <w:ind w:left="566"/>
      <w:jc w:val="both"/>
      <w:spacing w:after="120"/>
    </w:pPr>
  </w:style>
  <w:style w:type="paragraph" w:styleId="1132">
    <w:name w:val="List Continue 3"/>
    <w:basedOn w:val="830"/>
    <w:uiPriority w:val="99"/>
    <w:pPr>
      <w:ind w:left="849"/>
      <w:jc w:val="both"/>
      <w:spacing w:after="120"/>
    </w:pPr>
  </w:style>
  <w:style w:type="paragraph" w:styleId="1133">
    <w:name w:val="List Continue 4"/>
    <w:basedOn w:val="830"/>
    <w:uiPriority w:val="99"/>
    <w:pPr>
      <w:ind w:left="1132"/>
      <w:jc w:val="both"/>
      <w:spacing w:after="120"/>
    </w:pPr>
  </w:style>
  <w:style w:type="paragraph" w:styleId="1134">
    <w:name w:val="List Continue 5"/>
    <w:basedOn w:val="830"/>
    <w:uiPriority w:val="99"/>
    <w:pPr>
      <w:ind w:left="1415"/>
      <w:jc w:val="both"/>
      <w:spacing w:after="120"/>
    </w:pPr>
  </w:style>
  <w:style w:type="paragraph" w:styleId="1135">
    <w:name w:val="Closing"/>
    <w:basedOn w:val="830"/>
    <w:link w:val="1136"/>
    <w:uiPriority w:val="99"/>
    <w:pPr>
      <w:ind w:left="4252"/>
      <w:jc w:val="both"/>
      <w:spacing w:after="60"/>
    </w:pPr>
    <w:rPr>
      <w:lang w:val="en-US" w:eastAsia="en-US"/>
    </w:rPr>
  </w:style>
  <w:style w:type="character" w:styleId="1136" w:customStyle="1">
    <w:name w:val="Прощание Знак"/>
    <w:link w:val="1135"/>
    <w:uiPriority w:val="99"/>
    <w:rPr>
      <w:sz w:val="24"/>
      <w:szCs w:val="24"/>
    </w:rPr>
  </w:style>
  <w:style w:type="paragraph" w:styleId="1137">
    <w:name w:val="List"/>
    <w:basedOn w:val="830"/>
    <w:uiPriority w:val="99"/>
    <w:pPr>
      <w:ind w:left="283" w:hanging="283"/>
      <w:jc w:val="both"/>
      <w:spacing w:after="60"/>
    </w:pPr>
  </w:style>
  <w:style w:type="paragraph" w:styleId="1138">
    <w:name w:val="List 2"/>
    <w:basedOn w:val="830"/>
    <w:uiPriority w:val="99"/>
    <w:pPr>
      <w:ind w:left="566" w:hanging="283"/>
      <w:jc w:val="both"/>
      <w:spacing w:after="60"/>
    </w:pPr>
  </w:style>
  <w:style w:type="paragraph" w:styleId="1139">
    <w:name w:val="List 3"/>
    <w:basedOn w:val="830"/>
    <w:uiPriority w:val="99"/>
    <w:pPr>
      <w:ind w:left="849" w:hanging="283"/>
      <w:jc w:val="both"/>
      <w:spacing w:after="60"/>
    </w:pPr>
  </w:style>
  <w:style w:type="paragraph" w:styleId="1140">
    <w:name w:val="List 4"/>
    <w:basedOn w:val="830"/>
    <w:uiPriority w:val="99"/>
    <w:pPr>
      <w:ind w:left="1132" w:hanging="283"/>
      <w:jc w:val="both"/>
      <w:spacing w:after="60"/>
    </w:pPr>
  </w:style>
  <w:style w:type="paragraph" w:styleId="1141">
    <w:name w:val="List 5"/>
    <w:basedOn w:val="830"/>
    <w:uiPriority w:val="99"/>
    <w:pPr>
      <w:ind w:left="1415" w:hanging="283"/>
      <w:jc w:val="both"/>
      <w:spacing w:after="60"/>
    </w:pPr>
  </w:style>
  <w:style w:type="paragraph" w:styleId="1142">
    <w:name w:val="HTML Preformatted"/>
    <w:basedOn w:val="830"/>
    <w:link w:val="1143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143" w:customStyle="1">
    <w:name w:val="Стандартный HTML Знак"/>
    <w:link w:val="1142"/>
    <w:uiPriority w:val="99"/>
    <w:rPr>
      <w:rFonts w:ascii="Courier New" w:hAnsi="Courier New" w:cs="Courier New"/>
    </w:rPr>
  </w:style>
  <w:style w:type="character" w:styleId="1144">
    <w:name w:val="Strong"/>
    <w:uiPriority w:val="99"/>
    <w:qFormat/>
    <w:rPr>
      <w:b/>
      <w:bCs/>
    </w:rPr>
  </w:style>
  <w:style w:type="character" w:styleId="1145">
    <w:name w:val="HTML Cite"/>
    <w:uiPriority w:val="99"/>
    <w:rPr>
      <w:i/>
      <w:iCs/>
    </w:rPr>
  </w:style>
  <w:style w:type="paragraph" w:styleId="1146">
    <w:name w:val="Message Header"/>
    <w:basedOn w:val="830"/>
    <w:link w:val="1147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147" w:customStyle="1">
    <w:name w:val="Шапка Знак"/>
    <w:link w:val="1146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148">
    <w:name w:val="E-mail Signature"/>
    <w:basedOn w:val="830"/>
    <w:link w:val="1149"/>
    <w:uiPriority w:val="99"/>
    <w:pPr>
      <w:jc w:val="both"/>
      <w:spacing w:after="60"/>
    </w:pPr>
    <w:rPr>
      <w:lang w:val="en-US" w:eastAsia="en-US"/>
    </w:rPr>
  </w:style>
  <w:style w:type="character" w:styleId="1149" w:customStyle="1">
    <w:name w:val="Электронная подпись Знак"/>
    <w:link w:val="1148"/>
    <w:uiPriority w:val="99"/>
    <w:rPr>
      <w:sz w:val="24"/>
      <w:szCs w:val="24"/>
    </w:rPr>
  </w:style>
  <w:style w:type="paragraph" w:styleId="1150" w:customStyle="1">
    <w:name w:val="содержание2-1"/>
    <w:basedOn w:val="833"/>
    <w:next w:val="830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151" w:customStyle="1">
    <w:name w:val="Заголовок 2.1"/>
    <w:basedOn w:val="1012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152" w:customStyle="1">
    <w:name w:val="Стиль2"/>
    <w:basedOn w:val="1073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153" w:customStyle="1">
    <w:name w:val="Стиль3"/>
    <w:basedOn w:val="1092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154" w:customStyle="1">
    <w:name w:val="содержание2-11"/>
    <w:basedOn w:val="830"/>
    <w:uiPriority w:val="99"/>
    <w:pPr>
      <w:jc w:val="both"/>
      <w:spacing w:after="60"/>
    </w:pPr>
  </w:style>
  <w:style w:type="character" w:styleId="1155" w:customStyle="1">
    <w:name w:val="Знак Знак1"/>
    <w:uiPriority w:val="99"/>
    <w:rPr>
      <w:sz w:val="24"/>
      <w:szCs w:val="24"/>
      <w:lang w:val="ru-RU" w:eastAsia="ru-RU"/>
    </w:rPr>
  </w:style>
  <w:style w:type="character" w:styleId="1156" w:customStyle="1">
    <w:name w:val="Стиль3 Знак"/>
    <w:uiPriority w:val="99"/>
    <w:rPr>
      <w:sz w:val="24"/>
      <w:szCs w:val="24"/>
      <w:lang w:val="ru-RU" w:eastAsia="ru-RU"/>
    </w:rPr>
  </w:style>
  <w:style w:type="paragraph" w:styleId="1157" w:customStyle="1">
    <w:name w:val="Стиль4"/>
    <w:basedOn w:val="1013"/>
    <w:next w:val="830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158" w:customStyle="1">
    <w:name w:val="Таблица заголовок"/>
    <w:basedOn w:val="83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59" w:customStyle="1">
    <w:name w:val="текст таблицы"/>
    <w:basedOn w:val="830"/>
    <w:uiPriority w:val="99"/>
    <w:pPr>
      <w:ind w:right="-102"/>
      <w:spacing w:before="120"/>
    </w:pPr>
  </w:style>
  <w:style w:type="paragraph" w:styleId="1160" w:customStyle="1">
    <w:name w:val="Пункт Знак"/>
    <w:basedOn w:val="830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61" w:customStyle="1">
    <w:name w:val="a"/>
    <w:basedOn w:val="830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162" w:customStyle="1">
    <w:name w:val="Словарная статья"/>
    <w:basedOn w:val="830"/>
    <w:next w:val="830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163" w:customStyle="1">
    <w:name w:val="Комментарий пользователя"/>
    <w:basedOn w:val="830"/>
    <w:next w:val="830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164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165" w:customStyle="1">
    <w:name w:val="Текст выноски Знак"/>
    <w:link w:val="1037"/>
    <w:uiPriority w:val="99"/>
    <w:semiHidden/>
    <w:rPr>
      <w:rFonts w:ascii="Tahoma" w:hAnsi="Tahoma" w:cs="Tahoma"/>
      <w:sz w:val="16"/>
      <w:szCs w:val="16"/>
    </w:rPr>
  </w:style>
  <w:style w:type="character" w:styleId="1166" w:customStyle="1">
    <w:name w:val="label_body_text_1"/>
    <w:uiPriority w:val="99"/>
  </w:style>
  <w:style w:type="paragraph" w:styleId="1167" w:customStyle="1">
    <w:name w:val="Заголовок 1.Document Header1"/>
    <w:basedOn w:val="830"/>
    <w:next w:val="830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168" w:customStyle="1">
    <w:name w:val="Знак Знак11"/>
    <w:uiPriority w:val="99"/>
    <w:rPr>
      <w:sz w:val="24"/>
      <w:szCs w:val="24"/>
      <w:lang w:val="ru-RU" w:eastAsia="ru-RU"/>
    </w:rPr>
  </w:style>
  <w:style w:type="paragraph" w:styleId="1169" w:customStyle="1">
    <w:name w:val="20"/>
    <w:basedOn w:val="830"/>
    <w:uiPriority w:val="99"/>
    <w:pPr>
      <w:ind w:left="104" w:right="104"/>
      <w:spacing w:before="104" w:after="104"/>
    </w:pPr>
  </w:style>
  <w:style w:type="character" w:styleId="1170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171" w:customStyle="1">
    <w:name w:val="Схема документа Знак"/>
    <w:link w:val="1034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172" w:customStyle="1">
    <w:name w:val="Таблица шапка"/>
    <w:basedOn w:val="830"/>
    <w:pPr>
      <w:ind w:left="57" w:right="57"/>
      <w:keepNext/>
      <w:spacing w:before="40" w:after="40"/>
    </w:pPr>
    <w:rPr>
      <w:sz w:val="18"/>
      <w:szCs w:val="18"/>
    </w:rPr>
  </w:style>
  <w:style w:type="paragraph" w:styleId="1173" w:customStyle="1">
    <w:name w:val="Таблица текст"/>
    <w:basedOn w:val="830"/>
    <w:pPr>
      <w:ind w:left="57" w:right="57"/>
      <w:spacing w:before="40" w:after="40"/>
    </w:pPr>
    <w:rPr>
      <w:sz w:val="22"/>
      <w:szCs w:val="22"/>
    </w:rPr>
  </w:style>
  <w:style w:type="paragraph" w:styleId="1174" w:customStyle="1">
    <w:name w:val="пункт"/>
    <w:basedOn w:val="830"/>
    <w:uiPriority w:val="99"/>
    <w:pPr>
      <w:numPr>
        <w:ilvl w:val="2"/>
        <w:numId w:val="17"/>
      </w:numPr>
      <w:spacing w:before="60" w:after="60"/>
    </w:pPr>
  </w:style>
  <w:style w:type="character" w:styleId="117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76">
    <w:name w:val="index 1"/>
    <w:basedOn w:val="830"/>
    <w:next w:val="830"/>
    <w:uiPriority w:val="99"/>
    <w:pPr>
      <w:ind w:left="240" w:hanging="240"/>
      <w:jc w:val="both"/>
      <w:spacing w:after="60"/>
    </w:pPr>
  </w:style>
  <w:style w:type="paragraph" w:styleId="1177" w:customStyle="1">
    <w:name w:val="Обычный1"/>
    <w:uiPriority w:val="99"/>
    <w:rPr>
      <w:sz w:val="24"/>
      <w:szCs w:val="24"/>
    </w:rPr>
  </w:style>
  <w:style w:type="paragraph" w:styleId="117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179" w:customStyle="1">
    <w:name w:val="Текст концевой сноски Знак"/>
    <w:basedOn w:val="1014"/>
    <w:link w:val="998"/>
    <w:uiPriority w:val="99"/>
  </w:style>
  <w:style w:type="paragraph" w:styleId="1180" w:customStyle="1">
    <w:name w:val="Основной текст с отступом11"/>
    <w:basedOn w:val="830"/>
    <w:uiPriority w:val="99"/>
    <w:pPr>
      <w:ind w:firstLine="851"/>
      <w:jc w:val="both"/>
      <w:spacing w:before="60"/>
    </w:pPr>
  </w:style>
  <w:style w:type="character" w:styleId="1181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182">
    <w:name w:val="Placeholder Text"/>
    <w:uiPriority w:val="99"/>
    <w:semiHidden/>
    <w:rPr>
      <w:color w:val="808080"/>
    </w:rPr>
  </w:style>
  <w:style w:type="character" w:styleId="1183" w:customStyle="1">
    <w:name w:val="f"/>
  </w:style>
  <w:style w:type="character" w:styleId="1184" w:customStyle="1">
    <w:name w:val="r"/>
  </w:style>
  <w:style w:type="paragraph" w:styleId="1185">
    <w:name w:val="Body Text 2"/>
    <w:basedOn w:val="830"/>
    <w:link w:val="1186"/>
    <w:pPr>
      <w:jc w:val="both"/>
      <w:spacing w:after="120" w:line="480" w:lineRule="auto"/>
    </w:pPr>
    <w:rPr>
      <w:lang w:val="en-US" w:eastAsia="en-US"/>
    </w:rPr>
  </w:style>
  <w:style w:type="character" w:styleId="1186" w:customStyle="1">
    <w:name w:val="Основной текст 2 Знак"/>
    <w:link w:val="1185"/>
    <w:rPr>
      <w:sz w:val="24"/>
      <w:szCs w:val="24"/>
    </w:rPr>
  </w:style>
  <w:style w:type="paragraph" w:styleId="1187" w:customStyle="1">
    <w:name w:val="Iniiaiie oaeno"/>
    <w:basedOn w:val="830"/>
    <w:uiPriority w:val="99"/>
    <w:pPr>
      <w:jc w:val="center"/>
    </w:pPr>
    <w:rPr>
      <w:rFonts w:ascii="Arial" w:hAnsi="Arial" w:cs="Arial"/>
    </w:rPr>
  </w:style>
  <w:style w:type="paragraph" w:styleId="1188" w:customStyle="1">
    <w:name w:val="Абзац списка1"/>
    <w:basedOn w:val="830"/>
    <w:pPr>
      <w:contextualSpacing/>
      <w:ind w:left="720"/>
    </w:pPr>
    <w:rPr>
      <w:rFonts w:ascii="Cambria" w:hAnsi="Cambria" w:eastAsia="MS Mincho"/>
    </w:rPr>
  </w:style>
  <w:style w:type="paragraph" w:styleId="1189" w:customStyle="1">
    <w:name w:val="Таблицы (моноширинный)"/>
    <w:basedOn w:val="830"/>
    <w:next w:val="830"/>
    <w:uiPriority w:val="99"/>
    <w:rPr>
      <w:rFonts w:ascii="Courier New" w:hAnsi="Courier New" w:eastAsia="Calibri" w:cs="Courier New"/>
      <w:lang w:eastAsia="en-US"/>
    </w:rPr>
  </w:style>
  <w:style w:type="character" w:styleId="1190" w:customStyle="1">
    <w:name w:val="Пункт Знак1"/>
    <w:link w:val="1016"/>
    <w:rPr>
      <w:sz w:val="28"/>
      <w:lang w:val="en-US" w:eastAsia="en-US"/>
    </w:rPr>
  </w:style>
  <w:style w:type="paragraph" w:styleId="1191" w:customStyle="1">
    <w:name w:val="Пункт-3"/>
    <w:basedOn w:val="830"/>
    <w:link w:val="1192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192" w:customStyle="1">
    <w:name w:val="Пункт-3 Знак"/>
    <w:link w:val="1191"/>
    <w:rPr>
      <w:sz w:val="28"/>
    </w:rPr>
  </w:style>
  <w:style w:type="character" w:styleId="1193" w:customStyle="1">
    <w:name w:val="Основной текст (3)_"/>
    <w:link w:val="1194"/>
    <w:rPr>
      <w:b/>
      <w:bCs/>
      <w:shd w:val="clear" w:color="auto" w:fill="ffffff"/>
    </w:rPr>
  </w:style>
  <w:style w:type="paragraph" w:styleId="1194" w:customStyle="1">
    <w:name w:val="Основной текст (3)"/>
    <w:basedOn w:val="830"/>
    <w:link w:val="1193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195" w:customStyle="1">
    <w:name w:val="Пункт-4"/>
    <w:basedOn w:val="830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196" w:customStyle="1">
    <w:name w:val="комментарий"/>
    <w:uiPriority w:val="99"/>
    <w:rPr>
      <w:i/>
      <w:u w:val="none"/>
      <w:shd w:val="clear" w:color="auto" w:fill="ffff99"/>
    </w:rPr>
  </w:style>
  <w:style w:type="paragraph" w:styleId="1197">
    <w:name w:val="Revision"/>
    <w:hidden/>
    <w:uiPriority w:val="99"/>
    <w:semiHidden/>
    <w:rPr>
      <w:sz w:val="24"/>
      <w:szCs w:val="24"/>
    </w:rPr>
  </w:style>
  <w:style w:type="paragraph" w:styleId="1198" w:customStyle="1">
    <w:name w:val="Ариал"/>
    <w:basedOn w:val="830"/>
    <w:link w:val="1199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199" w:customStyle="1">
    <w:name w:val="Ариал Знак1"/>
    <w:link w:val="1198"/>
    <w:rPr>
      <w:rFonts w:ascii="Arial" w:hAnsi="Arial"/>
      <w:sz w:val="24"/>
      <w:lang w:val="en-US" w:eastAsia="en-US"/>
    </w:rPr>
  </w:style>
  <w:style w:type="paragraph" w:styleId="1200" w:customStyle="1">
    <w:name w:val="Цитата1"/>
    <w:basedOn w:val="830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01" w:customStyle="1">
    <w:name w:val="Times 12"/>
    <w:basedOn w:val="830"/>
    <w:pPr>
      <w:ind w:firstLine="567"/>
      <w:jc w:val="both"/>
    </w:pPr>
    <w:rPr>
      <w:bCs/>
      <w:szCs w:val="22"/>
    </w:rPr>
  </w:style>
  <w:style w:type="paragraph" w:styleId="1202" w:customStyle="1">
    <w:name w:val="МРСК_нумерованный_список"/>
    <w:basedOn w:val="1027"/>
    <w:qFormat/>
    <w:pPr>
      <w:numPr>
        <w:ilvl w:val="0"/>
        <w:numId w:val="18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0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04" w:customStyle="1">
    <w:name w:val="Пункт б/н"/>
    <w:basedOn w:val="830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205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</w:rPr>
  </w:style>
  <w:style w:type="character" w:styleId="1206" w:customStyle="1">
    <w:name w:val="Нет"/>
  </w:style>
  <w:style w:type="character" w:styleId="1207" w:customStyle="1">
    <w:name w:val="Hyperlink.0"/>
    <w:basedOn w:val="120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://reestr.nostroy.ru/reestr" TargetMode="External"/><Relationship Id="rId12" Type="http://schemas.openxmlformats.org/officeDocument/2006/relationships/hyperlink" Target="https://www.rosseti-sib.ru/" TargetMode="External"/><Relationship Id="rId13" Type="http://schemas.openxmlformats.org/officeDocument/2006/relationships/hyperlink" Target="https://rmsp.nalog.ru/" TargetMode="External"/><Relationship Id="rId14" Type="http://schemas.openxmlformats.org/officeDocument/2006/relationships/hyperlink" Target="https://npd.nalog.ru/check-status/" TargetMode="External"/><Relationship Id="rId15" Type="http://schemas.openxmlformats.org/officeDocument/2006/relationships/hyperlink" Target="http://www.zakupki.gov.ru" TargetMode="External"/><Relationship Id="rId16" Type="http://schemas.openxmlformats.org/officeDocument/2006/relationships/hyperlink" Target="http://www.cbr.ru/credit/" TargetMode="External"/><Relationship Id="rId17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438</cp:revision>
  <dcterms:created xsi:type="dcterms:W3CDTF">2019-09-12T08:30:00Z</dcterms:created>
  <dcterms:modified xsi:type="dcterms:W3CDTF">2025-05-15T12:31:42Z</dcterms:modified>
  <cp:version>1048576</cp:version>
</cp:coreProperties>
</file>